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lang w:val="pt-PT"/>
        </w:rPr>
      </w:pPr>
      <w:r>
        <w:rPr>
          <w:rtl w:val="0"/>
          <w:lang w:val="pt-PT"/>
        </w:rPr>
        <w:t>CEPC Detector R&amp;D Project</w:t>
      </w:r>
    </w:p>
    <w:p>
      <w:pPr>
        <w:pStyle w:val="Title"/>
        <w:rPr>
          <w:lang w:val="pt-PT"/>
        </w:rPr>
      </w:pPr>
      <w:r>
        <w:rPr>
          <w:rtl w:val="0"/>
          <w:lang w:val="pt-PT"/>
        </w:rPr>
        <w:t>1.</w:t>
      </w:r>
      <w:r>
        <w:rPr>
          <w:rtl w:val="0"/>
          <w:lang w:val="it-IT"/>
        </w:rPr>
        <w:t>2</w:t>
      </w:r>
      <w:r>
        <w:rPr>
          <w:rtl w:val="0"/>
          <w:lang w:val="pt-PT"/>
        </w:rPr>
        <w:t xml:space="preserve"> </w:t>
      </w:r>
      <w:r>
        <w:rPr>
          <w:rtl w:val="0"/>
          <w:lang w:val="it-IT"/>
        </w:rPr>
        <w:t>ARCADIA CMOS MAPS</w:t>
      </w:r>
    </w:p>
    <w:tbl>
      <w:tblPr>
        <w:tblW w:w="625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16"/>
        <w:gridCol w:w="2840"/>
      </w:tblGrid>
      <w:tr>
        <w:tblPrEx>
          <w:shd w:val="clear" w:color="auto" w:fill="ced7e7"/>
        </w:tblPrEx>
        <w:trPr>
          <w:trHeight w:val="257" w:hRule="atLeast"/>
        </w:trPr>
        <w:tc>
          <w:tcPr>
            <w:tcW w:type="dxa" w:w="3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b w:val="0"/>
                <w:bCs w:val="0"/>
                <w:shd w:val="nil" w:color="auto" w:fill="auto"/>
                <w:rtl w:val="0"/>
                <w:lang w:val="en-US"/>
              </w:rPr>
              <w:t>Document Responsible:</w:t>
            </w:r>
          </w:p>
        </w:tc>
        <w:tc>
          <w:tcPr>
            <w:tcW w:type="dxa" w:w="2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shd w:val="nil" w:color="auto" w:fill="auto"/>
                <w:rtl w:val="0"/>
                <w:lang w:val="it-IT"/>
              </w:rPr>
              <w:t>Manuel Rolo</w:t>
            </w:r>
          </w:p>
        </w:tc>
      </w:tr>
      <w:tr>
        <w:tblPrEx>
          <w:shd w:val="clear" w:color="auto" w:fill="ced7e7"/>
        </w:tblPrEx>
        <w:trPr>
          <w:trHeight w:val="257" w:hRule="atLeast"/>
        </w:trPr>
        <w:tc>
          <w:tcPr>
            <w:tcW w:type="dxa" w:w="3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shd w:val="nil" w:color="auto" w:fill="auto"/>
                <w:rtl w:val="0"/>
                <w:lang w:val="en-US"/>
              </w:rPr>
              <w:t xml:space="preserve">Last saved by  </w:t>
            </w:r>
            <w:r>
              <w:rPr>
                <w:shd w:val="nil" w:color="auto" w:fill="auto"/>
                <w:rtl w:val="0"/>
              </w:rPr>
              <w:t>on</w:t>
            </w:r>
          </w:p>
        </w:tc>
        <w:tc>
          <w:tcPr>
            <w:tcW w:type="dxa" w:w="2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tl w:val="0"/>
                <w:lang w:val="it-IT"/>
              </w:rPr>
              <w:t>29</w:t>
            </w:r>
            <w:r>
              <w:rPr>
                <w:shd w:val="nil" w:color="auto" w:fill="auto"/>
                <w:rtl w:val="0"/>
              </w:rPr>
              <w:t>/0</w:t>
            </w:r>
            <w:r>
              <w:rPr>
                <w:shd w:val="nil" w:color="auto" w:fill="auto"/>
                <w:rtl w:val="0"/>
                <w:lang w:val="it-IT"/>
              </w:rPr>
              <w:t>4</w:t>
            </w:r>
            <w:r>
              <w:rPr>
                <w:shd w:val="nil" w:color="auto" w:fill="auto"/>
                <w:rtl w:val="0"/>
              </w:rPr>
              <w:t>/</w:t>
            </w:r>
            <w:r>
              <w:rPr>
                <w:shd w:val="nil" w:color="auto" w:fill="auto"/>
                <w:rtl w:val="0"/>
                <w:lang w:val="it-IT"/>
              </w:rPr>
              <w:t>2020</w:t>
            </w:r>
            <w:r>
              <w:rPr>
                <w:shd w:val="nil" w:color="auto" w:fill="auto"/>
                <w:rtl w:val="0"/>
              </w:rPr>
              <w:t xml:space="preserve"> </w:t>
            </w:r>
            <w:r>
              <w:rPr>
                <w:shd w:val="nil" w:color="auto" w:fill="auto"/>
                <w:rtl w:val="0"/>
                <w:lang w:val="it-IT"/>
              </w:rPr>
              <w:t>5</w:t>
            </w:r>
            <w:r>
              <w:rPr>
                <w:shd w:val="nil" w:color="auto" w:fill="auto"/>
                <w:rtl w:val="0"/>
              </w:rPr>
              <w:t xml:space="preserve">:00:00 </w:t>
            </w:r>
            <w:r>
              <w:rPr>
                <w:shd w:val="nil" w:color="auto" w:fill="auto"/>
                <w:rtl w:val="0"/>
                <w:lang w:val="it-IT"/>
              </w:rPr>
              <w:t>P</w:t>
            </w:r>
            <w:r>
              <w:rPr>
                <w:shd w:val="nil" w:color="auto" w:fill="auto"/>
                <w:rtl w:val="0"/>
              </w:rPr>
              <w:t>M</w:t>
            </w:r>
          </w:p>
        </w:tc>
      </w:tr>
      <w:tr>
        <w:tblPrEx>
          <w:shd w:val="clear" w:color="auto" w:fill="ced7e7"/>
        </w:tblPrEx>
        <w:trPr>
          <w:trHeight w:val="257" w:hRule="atLeast"/>
        </w:trPr>
        <w:tc>
          <w:tcPr>
            <w:tcW w:type="dxa" w:w="3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b w:val="0"/>
                <w:bCs w:val="0"/>
                <w:shd w:val="nil" w:color="auto" w:fill="auto"/>
                <w:rtl w:val="0"/>
                <w:lang w:val="en-US"/>
              </w:rPr>
              <w:t>Revision number:</w:t>
            </w:r>
          </w:p>
        </w:tc>
        <w:tc>
          <w:tcPr>
            <w:tcW w:type="dxa" w:w="2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shd w:val="nil" w:color="auto" w:fill="auto"/>
                <w:rtl w:val="0"/>
                <w:lang w:val="en-US"/>
              </w:rPr>
              <w:t>1</w:t>
            </w:r>
          </w:p>
        </w:tc>
      </w:tr>
      <w:tr>
        <w:tblPrEx>
          <w:shd w:val="clear" w:color="auto" w:fill="ced7e7"/>
        </w:tblPrEx>
        <w:trPr>
          <w:trHeight w:val="257" w:hRule="atLeast"/>
        </w:trPr>
        <w:tc>
          <w:tcPr>
            <w:tcW w:type="dxa" w:w="3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Title"/>
        <w:rPr>
          <w:lang w:val="pt-PT"/>
        </w:rPr>
      </w:pPr>
    </w:p>
    <w:p>
      <w:pPr>
        <w:pStyle w:val="Section"/>
      </w:pPr>
      <w:r>
        <w:rPr>
          <w:rtl w:val="0"/>
          <w:lang w:val="en-US"/>
        </w:rPr>
        <w:t>Change history</w:t>
      </w:r>
    </w:p>
    <w:tbl>
      <w:tblPr>
        <w:tblW w:w="912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57"/>
        <w:gridCol w:w="1802"/>
        <w:gridCol w:w="6267"/>
      </w:tblGrid>
      <w:tr>
        <w:tblPrEx>
          <w:shd w:val="clear" w:color="auto" w:fill="ced7e7"/>
        </w:tblPrEx>
        <w:trPr>
          <w:trHeight w:val="257" w:hRule="atLeast"/>
        </w:trPr>
        <w:tc>
          <w:tcPr>
            <w:tcW w:type="dxa" w:w="1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Revision</w:t>
            </w:r>
          </w:p>
        </w:tc>
        <w:tc>
          <w:tcPr>
            <w:tcW w:type="dxa" w:w="1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When</w:t>
            </w:r>
          </w:p>
        </w:tc>
        <w:tc>
          <w:tcPr>
            <w:tcW w:type="dxa" w:w="6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What changed and why</w:t>
            </w:r>
          </w:p>
        </w:tc>
      </w:tr>
      <w:tr>
        <w:tblPrEx>
          <w:shd w:val="clear" w:color="auto" w:fill="ced7e7"/>
        </w:tblPrEx>
        <w:trPr>
          <w:trHeight w:val="257" w:hRule="atLeast"/>
        </w:trPr>
        <w:tc>
          <w:tcPr>
            <w:tcW w:type="dxa" w:w="1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1</w:t>
            </w:r>
          </w:p>
        </w:tc>
        <w:tc>
          <w:tcPr>
            <w:tcW w:type="dxa" w:w="1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29/04/2020 </w:t>
            </w:r>
          </w:p>
        </w:tc>
        <w:tc>
          <w:tcPr>
            <w:tcW w:type="dxa" w:w="6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First draft</w:t>
            </w:r>
          </w:p>
        </w:tc>
      </w:tr>
      <w:tr>
        <w:tblPrEx>
          <w:shd w:val="clear" w:color="auto" w:fill="ced7e7"/>
        </w:tblPrEx>
        <w:trPr>
          <w:trHeight w:val="257" w:hRule="atLeast"/>
        </w:trPr>
        <w:tc>
          <w:tcPr>
            <w:tcW w:type="dxa" w:w="1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1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1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&lt; Add further lines to table as required &gt;</w:t>
            </w:r>
          </w:p>
        </w:tc>
      </w:tr>
    </w:tbl>
    <w:p>
      <w:pPr>
        <w:pStyle w:val="Section"/>
        <w:ind w:left="108" w:hanging="108"/>
      </w:pPr>
    </w:p>
    <w:p>
      <w:pPr>
        <w:pStyle w:val="Section"/>
      </w:pPr>
      <w:r>
        <w:rPr>
          <w:rtl w:val="0"/>
          <w:lang w:val="en-US"/>
        </w:rPr>
        <w:t>Readme first</w:t>
      </w:r>
    </w:p>
    <w:p>
      <w:pPr>
        <w:pStyle w:val="List Paragraph"/>
        <w:numPr>
          <w:ilvl w:val="0"/>
          <w:numId w:val="2"/>
        </w:numPr>
        <w:bidi w:val="0"/>
        <w:ind w:right="0"/>
        <w:jc w:val="both"/>
        <w:rPr>
          <w:b w:val="1"/>
          <w:bCs w:val="1"/>
          <w:rtl w:val="0"/>
        </w:rPr>
      </w:pPr>
      <w:bookmarkStart w:name="_Ref353723048" w:id="0"/>
      <w:r>
        <w:rPr>
          <w:b w:val="0"/>
          <w:bCs w:val="0"/>
          <w:rtl w:val="0"/>
          <w:lang w:val="en-US"/>
        </w:rPr>
        <w:t>Please do not delete or modify this section or its structure.</w:t>
      </w:r>
      <w:bookmarkEnd w:id="0"/>
    </w:p>
    <w:p>
      <w:pPr>
        <w:pStyle w:val="List Paragraph"/>
        <w:numPr>
          <w:ilvl w:val="0"/>
          <w:numId w:val="2"/>
        </w:numPr>
        <w:bidi w:val="0"/>
        <w:ind w:right="0"/>
        <w:jc w:val="both"/>
        <w:rPr>
          <w:b w:val="1"/>
          <w:bCs w:val="1"/>
          <w:rtl w:val="0"/>
          <w:lang w:val="en-US"/>
        </w:rPr>
      </w:pPr>
      <w:r>
        <w:rPr>
          <w:b w:val="0"/>
          <w:bCs w:val="0"/>
          <w:rtl w:val="0"/>
          <w:lang w:val="en-US"/>
        </w:rPr>
        <w:t xml:space="preserve">Only change text enclosed by (and including) angled brackets </w:t>
      </w:r>
      <w:r>
        <w:rPr>
          <w:b w:val="0"/>
          <w:bCs w:val="0"/>
          <w:rtl w:val="0"/>
          <w:lang w:val="en-US"/>
        </w:rPr>
        <w:t>“</w:t>
      </w:r>
      <w:r>
        <w:rPr>
          <w:b w:val="0"/>
          <w:bCs w:val="0"/>
          <w:rtl w:val="0"/>
          <w:lang w:val="en-US"/>
        </w:rPr>
        <w:t xml:space="preserve">&lt; </w:t>
      </w:r>
      <w:r>
        <w:rPr>
          <w:b w:val="0"/>
          <w:bCs w:val="0"/>
          <w:rtl w:val="0"/>
          <w:lang w:val="en-US"/>
        </w:rPr>
        <w:t xml:space="preserve">… </w:t>
      </w:r>
      <w:r>
        <w:rPr>
          <w:b w:val="0"/>
          <w:bCs w:val="0"/>
          <w:rtl w:val="0"/>
          <w:lang w:val="en-US"/>
        </w:rPr>
        <w:t>&gt;</w:t>
      </w:r>
      <w:r>
        <w:rPr>
          <w:b w:val="0"/>
          <w:bCs w:val="0"/>
          <w:rtl w:val="0"/>
          <w:lang w:val="en-US"/>
        </w:rPr>
        <w:t>”</w:t>
      </w:r>
      <w:r>
        <w:rPr>
          <w:b w:val="0"/>
          <w:bCs w:val="0"/>
          <w:rtl w:val="0"/>
          <w:lang w:val="en-US"/>
        </w:rPr>
        <w:t>.</w:t>
      </w:r>
    </w:p>
    <w:p>
      <w:pPr>
        <w:pStyle w:val="List Paragraph"/>
        <w:numPr>
          <w:ilvl w:val="0"/>
          <w:numId w:val="2"/>
        </w:numPr>
        <w:bidi w:val="0"/>
        <w:ind w:right="0"/>
        <w:jc w:val="both"/>
        <w:rPr>
          <w:rtl w:val="0"/>
          <w:lang w:val="en-US"/>
        </w:rPr>
      </w:pPr>
      <w:r>
        <w:rPr>
          <w:rtl w:val="0"/>
          <w:lang w:val="en-US"/>
        </w:rPr>
        <w:t>Don</w:t>
      </w:r>
      <w:r>
        <w:rPr>
          <w:rtl w:val="0"/>
          <w:lang w:val="en-US"/>
        </w:rPr>
        <w:t>’</w:t>
      </w:r>
      <w:r>
        <w:rPr>
          <w:rtl w:val="0"/>
          <w:lang w:val="en-US"/>
        </w:rPr>
        <w:t>t change field directly, instead modify the document options, under File</w:t>
      </w:r>
      <w:r>
        <w:rPr>
          <w:rFonts w:ascii="Wingdings" w:hAnsi="Wingdings" w:hint="default"/>
          <w:rtl w:val="0"/>
          <w:lang w:val="en-US"/>
        </w:rPr>
        <w:sym w:font="Wingdings" w:char="F0E0"/>
      </w:r>
      <w:r>
        <w:rPr>
          <w:rtl w:val="0"/>
          <w:lang w:val="en-US"/>
        </w:rPr>
        <w:t xml:space="preserve"> Properties (or similar)</w:t>
      </w:r>
    </w:p>
    <w:p>
      <w:pPr>
        <w:pStyle w:val="List Paragraph"/>
        <w:numPr>
          <w:ilvl w:val="1"/>
          <w:numId w:val="4"/>
        </w:numPr>
        <w:bidi w:val="0"/>
        <w:ind w:right="0"/>
        <w:jc w:val="both"/>
        <w:rPr>
          <w:rtl w:val="0"/>
          <w:lang w:val="en-US"/>
        </w:rPr>
      </w:pPr>
      <w:r>
        <w:rPr>
          <w:rtl w:val="0"/>
          <w:lang w:val="en-US"/>
        </w:rPr>
        <w:t>Enter name of person that wrote the document in Document:Summary: Author</w:t>
      </w:r>
    </w:p>
    <w:p>
      <w:pPr>
        <w:pStyle w:val="List Paragraph"/>
        <w:numPr>
          <w:ilvl w:val="1"/>
          <w:numId w:val="4"/>
        </w:numPr>
        <w:bidi w:val="0"/>
        <w:ind w:right="0"/>
        <w:jc w:val="both"/>
        <w:rPr>
          <w:rtl w:val="0"/>
          <w:lang w:val="en-US"/>
        </w:rPr>
      </w:pPr>
      <w:r>
        <w:rPr>
          <w:rtl w:val="0"/>
          <w:lang w:val="en-US"/>
        </w:rPr>
        <w:t>The project ID number, should follow the rules provided to you earlier. The number should be changed in Document:Custom: PBS.</w:t>
      </w:r>
    </w:p>
    <w:p>
      <w:pPr>
        <w:pStyle w:val="List Paragraph"/>
        <w:numPr>
          <w:ilvl w:val="1"/>
          <w:numId w:val="4"/>
        </w:numPr>
        <w:bidi w:val="0"/>
        <w:ind w:right="0"/>
        <w:jc w:val="both"/>
        <w:rPr>
          <w:rtl w:val="0"/>
          <w:lang w:val="en-US"/>
        </w:rPr>
      </w:pPr>
      <w:r>
        <w:rPr>
          <w:rtl w:val="0"/>
          <w:lang w:val="en-US"/>
        </w:rPr>
        <w:t xml:space="preserve">The project name should be changed in Document:Summary: Subject. </w:t>
      </w:r>
    </w:p>
    <w:p>
      <w:pPr>
        <w:pStyle w:val="List Paragraph"/>
        <w:numPr>
          <w:ilvl w:val="0"/>
          <w:numId w:val="2"/>
        </w:numPr>
        <w:bidi w:val="0"/>
        <w:ind w:right="0"/>
        <w:jc w:val="both"/>
        <w:rPr>
          <w:b w:val="1"/>
          <w:bCs w:val="1"/>
          <w:rtl w:val="0"/>
          <w:lang w:val="en-US"/>
        </w:rPr>
      </w:pPr>
      <w:r>
        <w:rPr>
          <w:b w:val="0"/>
          <w:bCs w:val="0"/>
          <w:rtl w:val="0"/>
          <w:lang w:val="en-US"/>
        </w:rPr>
        <w:t xml:space="preserve">In Section </w:t>
      </w:r>
      <w:r>
        <w:rPr>
          <w:rStyle w:val="Hyperlink.0"/>
          <w:b w:val="0"/>
          <w:bCs w:val="0"/>
          <w:i w:val="1"/>
          <w:iCs w:val="1"/>
        </w:rPr>
        <w:fldChar w:fldCharType="begin" w:fldLock="0"/>
      </w:r>
      <w:r>
        <w:rPr>
          <w:rStyle w:val="Hyperlink.0"/>
          <w:b w:val="0"/>
          <w:bCs w:val="0"/>
          <w:i w:val="1"/>
          <w:iCs w:val="1"/>
        </w:rPr>
        <w:instrText xml:space="preserve"> HYPERLINK \l "ProjectObjectives" </w:instrText>
      </w:r>
      <w:r>
        <w:rPr>
          <w:rStyle w:val="Hyperlink.0"/>
          <w:b w:val="0"/>
          <w:bCs w:val="0"/>
          <w:i w:val="1"/>
          <w:iCs w:val="1"/>
        </w:rPr>
        <w:fldChar w:fldCharType="separate" w:fldLock="0"/>
      </w:r>
      <w:r>
        <w:rPr>
          <w:rStyle w:val="Hyperlink.0"/>
          <w:b w:val="0"/>
          <w:bCs w:val="0"/>
          <w:i w:val="1"/>
          <w:iCs w:val="1"/>
          <w:rtl w:val="0"/>
          <w:lang w:val="en-US"/>
        </w:rPr>
        <w:t>Project Objectives</w:t>
      </w:r>
      <w:r>
        <w:rPr>
          <w:b w:val="1"/>
          <w:bCs w:val="1"/>
        </w:rPr>
        <w:fldChar w:fldCharType="end" w:fldLock="0"/>
      </w:r>
      <w:r>
        <w:rPr>
          <w:b w:val="0"/>
          <w:bCs w:val="0"/>
          <w:rtl w:val="0"/>
          <w:lang w:val="en-US"/>
        </w:rPr>
        <w:t xml:space="preserve"> provide a brief description of the project goals, i.e. why and what is being produced, for PBS item </w:t>
      </w:r>
      <w:r>
        <w:rPr>
          <w:b w:val="1"/>
          <w:bCs w:val="1"/>
          <w:rtl w:val="0"/>
          <w:lang w:val="en-US"/>
        </w:rPr>
        <w:t>1.1</w:t>
      </w:r>
      <w:r>
        <w:rPr>
          <w:b w:val="0"/>
          <w:bCs w:val="0"/>
          <w:rtl w:val="0"/>
          <w:lang w:val="en-US"/>
        </w:rPr>
        <w:t xml:space="preserve"> </w:t>
      </w:r>
      <w:r>
        <w:rPr>
          <w:b w:val="1"/>
          <w:bCs w:val="1"/>
          <w:rtl w:val="0"/>
          <w:lang w:val="en-US"/>
        </w:rPr>
        <w:t>Vertex Prototype</w:t>
      </w:r>
      <w:r>
        <w:rPr>
          <w:b w:val="0"/>
          <w:bCs w:val="0"/>
          <w:rtl w:val="0"/>
          <w:lang w:val="en-US"/>
        </w:rPr>
        <w:t xml:space="preserve">. If this project includes identifiable sub-projects you can indicate them in the </w:t>
      </w:r>
      <w:r>
        <w:rPr>
          <w:rStyle w:val="Hyperlink.0"/>
          <w:b w:val="0"/>
          <w:bCs w:val="0"/>
          <w:i w:val="1"/>
          <w:iCs w:val="1"/>
        </w:rPr>
        <w:fldChar w:fldCharType="begin" w:fldLock="0"/>
      </w:r>
      <w:r>
        <w:rPr>
          <w:rStyle w:val="Hyperlink.0"/>
          <w:b w:val="0"/>
          <w:bCs w:val="0"/>
          <w:i w:val="1"/>
          <w:iCs w:val="1"/>
        </w:rPr>
        <w:instrText xml:space="preserve"> HYPERLINK \l "SubprojectsDescription" </w:instrText>
      </w:r>
      <w:r>
        <w:rPr>
          <w:rStyle w:val="Hyperlink.0"/>
          <w:b w:val="0"/>
          <w:bCs w:val="0"/>
          <w:i w:val="1"/>
          <w:iCs w:val="1"/>
        </w:rPr>
        <w:fldChar w:fldCharType="separate" w:fldLock="0"/>
      </w:r>
      <w:r>
        <w:rPr>
          <w:rStyle w:val="Hyperlink.0"/>
          <w:b w:val="0"/>
          <w:bCs w:val="0"/>
          <w:i w:val="1"/>
          <w:iCs w:val="1"/>
          <w:rtl w:val="0"/>
          <w:lang w:val="en-US"/>
        </w:rPr>
        <w:t>Sub-projects Description</w:t>
      </w:r>
      <w:r>
        <w:rPr>
          <w:b w:val="1"/>
          <w:bCs w:val="1"/>
        </w:rPr>
        <w:fldChar w:fldCharType="end" w:fldLock="0"/>
      </w:r>
      <w:r>
        <w:rPr>
          <w:b w:val="0"/>
          <w:bCs w:val="0"/>
          <w:rtl w:val="0"/>
          <w:lang w:val="en-US"/>
        </w:rPr>
        <w:t xml:space="preserve"> Section, otherwise submit a separate document for each of them. The sub-project IDs are free for you to define.</w:t>
      </w:r>
    </w:p>
    <w:p>
      <w:pPr>
        <w:pStyle w:val="List Paragraph"/>
        <w:numPr>
          <w:ilvl w:val="0"/>
          <w:numId w:val="2"/>
        </w:numPr>
        <w:bidi w:val="0"/>
        <w:ind w:right="0"/>
        <w:jc w:val="both"/>
        <w:rPr>
          <w:rtl w:val="0"/>
          <w:lang w:val="en-US"/>
        </w:rPr>
      </w:pPr>
      <w:r>
        <w:rPr>
          <w:rtl w:val="0"/>
          <w:lang w:val="en-US"/>
        </w:rPr>
        <w:t xml:space="preserve">Finally, remember to update the </w:t>
      </w:r>
      <w:r>
        <w:rPr>
          <w:rStyle w:val="Hyperlink.1"/>
        </w:rPr>
        <w:fldChar w:fldCharType="begin" w:fldLock="0"/>
      </w:r>
      <w:r>
        <w:rPr>
          <w:rStyle w:val="Hyperlink.1"/>
        </w:rPr>
        <w:instrText xml:space="preserve"> HYPERLINK \l "ChangeHistory" </w:instrText>
      </w:r>
      <w:r>
        <w:rPr>
          <w:rStyle w:val="Hyperlink.1"/>
        </w:rPr>
        <w:fldChar w:fldCharType="separate" w:fldLock="0"/>
      </w:r>
      <w:r>
        <w:rPr>
          <w:rStyle w:val="Hyperlink.1"/>
          <w:rtl w:val="0"/>
          <w:lang w:val="en-US"/>
        </w:rPr>
        <w:t>Change History</w:t>
      </w:r>
      <w:r>
        <w:rPr/>
        <w:fldChar w:fldCharType="end" w:fldLock="0"/>
      </w:r>
      <w:bookmarkStart w:name="CostExplanation" w:id="1"/>
      <w:bookmarkEnd w:id="1"/>
      <w:r>
        <w:rPr>
          <w:rtl w:val="0"/>
          <w:lang w:val="en-US"/>
        </w:rPr>
        <w:t>.</w:t>
      </w:r>
      <w:bookmarkStart w:name="ChangeHistory" w:id="2"/>
      <w:bookmarkEnd w:id="2"/>
      <w:r>
        <w:rPr>
          <w:rFonts w:ascii="Arial Unicode MS" w:cs="Arial Unicode MS" w:hAnsi="Arial Unicode MS" w:eastAsia="Arial Unicode MS"/>
          <w:b w:val="0"/>
          <w:bCs w:val="0"/>
          <w:i w:val="0"/>
          <w:iCs w:val="0"/>
        </w:rPr>
        <w:br w:type="page"/>
      </w:r>
    </w:p>
    <w:p>
      <w:pPr>
        <w:pStyle w:val="Section"/>
      </w:pPr>
      <w:bookmarkStart w:name="CostEstimateType" w:id="3"/>
      <w:r>
        <w:rPr>
          <w:rtl w:val="0"/>
          <w:lang w:val="en-US"/>
        </w:rPr>
        <w:t>1.</w:t>
      </w:r>
      <w:r>
        <w:rPr>
          <w:rtl w:val="0"/>
          <w:lang w:val="it-IT"/>
        </w:rPr>
        <w:t>2</w:t>
      </w:r>
      <w:r>
        <w:rPr>
          <w:rtl w:val="0"/>
          <w:lang w:val="en-US"/>
        </w:rPr>
        <w:t xml:space="preserve"> Vertex Prototype:</w:t>
      </w:r>
      <w:bookmarkEnd w:id="3"/>
      <w:r>
        <w:rPr>
          <w:rtl w:val="0"/>
          <w:lang w:val="en-US"/>
        </w:rPr>
        <w:t xml:space="preserve"> </w:t>
      </w:r>
      <w:bookmarkStart w:name="ProjectObjectives" w:id="4"/>
      <w:r>
        <w:rPr>
          <w:rtl w:val="0"/>
          <w:lang w:val="en-US"/>
        </w:rPr>
        <w:t>Project Objectives</w:t>
      </w:r>
      <w:bookmarkEnd w:id="4"/>
    </w:p>
    <w:p>
      <w:pPr>
        <w:pStyle w:val="Body"/>
      </w:pPr>
      <w:r>
        <w:rPr>
          <w:rtl w:val="0"/>
          <w:lang w:val="en-US"/>
        </w:rPr>
        <w:t xml:space="preserve">Since about two decades, </w:t>
      </w:r>
      <w:r>
        <w:rPr>
          <w:rtl w:val="0"/>
          <w:lang w:val="it-IT"/>
        </w:rPr>
        <w:t>the HEP community has actively worked on the development of</w:t>
      </w:r>
      <w:r>
        <w:rPr>
          <w:rtl w:val="0"/>
          <w:lang w:val="en-US"/>
        </w:rPr>
        <w:t xml:space="preserve"> monolithic active pixel sensors</w:t>
      </w:r>
      <w:r>
        <w:rPr>
          <w:rtl w:val="0"/>
          <w:lang w:val="it-IT"/>
        </w:rPr>
        <w:t>. MAPS offer</w:t>
      </w:r>
      <w:r>
        <w:rPr>
          <w:rtl w:val="0"/>
          <w:lang w:val="en-US"/>
        </w:rPr>
        <w:t xml:space="preserve"> significant advantages at the price of a reduced signal-over-noise ratio, essentially due to the reduction of the sensitive layer to the low resistivity epitaxial layer</w:t>
      </w:r>
      <w:r>
        <w:rPr>
          <w:rtl w:val="0"/>
          <w:lang w:val="it-IT"/>
        </w:rPr>
        <w:t>. Typically, these solutions are embodied</w:t>
      </w:r>
      <w:r>
        <w:rPr>
          <w:rtl w:val="0"/>
        </w:rPr>
        <w:t xml:space="preserve"> </w:t>
      </w:r>
      <w:r>
        <w:rPr>
          <w:rtl w:val="0"/>
          <w:lang w:val="it-IT"/>
        </w:rPr>
        <w:t>in a silicon detector with</w:t>
      </w:r>
      <w:r>
        <w:rPr>
          <w:rtl w:val="0"/>
          <w:lang w:val="en-US"/>
        </w:rPr>
        <w:t xml:space="preserve"> thickness not exceeding 20 </w:t>
      </w:r>
      <w:r>
        <w:rPr>
          <w:rtl w:val="0"/>
        </w:rPr>
        <w:t>μ</w:t>
      </w:r>
      <w:r>
        <w:rPr>
          <w:rtl w:val="0"/>
        </w:rPr>
        <w:t>m</w:t>
      </w:r>
      <w:r>
        <w:rPr>
          <w:rtl w:val="0"/>
          <w:lang w:val="it-IT"/>
        </w:rPr>
        <w:t>,</w:t>
      </w:r>
      <w:r>
        <w:rPr>
          <w:rtl w:val="0"/>
          <w:lang w:val="en-US"/>
        </w:rPr>
        <w:t xml:space="preserve"> even in the </w:t>
      </w:r>
      <w:r>
        <w:rPr>
          <w:rtl w:val="1"/>
          <w:lang w:val="ar-SA" w:bidi="ar-SA"/>
        </w:rPr>
        <w:t>“</w:t>
      </w:r>
      <w:r>
        <w:rPr>
          <w:rtl w:val="0"/>
        </w:rPr>
        <w:t>opto</w:t>
      </w:r>
      <w:r>
        <w:rPr>
          <w:rtl w:val="0"/>
        </w:rPr>
        <w:t xml:space="preserve">” </w:t>
      </w:r>
      <w:r>
        <w:rPr>
          <w:rtl w:val="0"/>
          <w:lang w:val="en-US"/>
        </w:rPr>
        <w:t>technologies, and charge collection by diffusion.</w:t>
      </w:r>
    </w:p>
    <w:p>
      <w:pPr>
        <w:pStyle w:val="Body"/>
      </w:pPr>
      <w:r>
        <w:rPr>
          <w:rtl w:val="0"/>
          <w:lang w:val="en-US"/>
        </w:rPr>
        <w:t xml:space="preserve">Several solutions have been proposed to overcome this initial limitation. The ARCADIA (Advanced Readout CMOS Architectures with Depleted Integrated sensor Arrays) collaboration is targeting the integration of pixel arrays on high resistivity fully depleted substrates, with the following main features:  </w:t>
      </w:r>
    </w:p>
    <w:p>
      <w:pPr>
        <w:pStyle w:val="Body"/>
        <w:numPr>
          <w:ilvl w:val="0"/>
          <w:numId w:val="6"/>
        </w:numPr>
      </w:pPr>
      <w:r>
        <w:rPr>
          <w:rtl w:val="0"/>
          <w:lang w:val="en-US"/>
        </w:rPr>
        <w:t xml:space="preserve">active sensor thickness in the range 50 </w:t>
      </w:r>
      <w:r>
        <w:rPr>
          <w:rtl w:val="0"/>
        </w:rPr>
        <w:t>μ</w:t>
      </w:r>
      <w:r>
        <w:rPr>
          <w:rtl w:val="0"/>
          <w:lang w:val="en-US"/>
        </w:rPr>
        <w:t xml:space="preserve">m to 500 </w:t>
      </w:r>
      <w:r>
        <w:rPr>
          <w:rtl w:val="0"/>
        </w:rPr>
        <w:t>μ</w:t>
      </w:r>
      <w:r>
        <w:rPr>
          <w:rtl w:val="0"/>
        </w:rPr>
        <w:t xml:space="preserve">m; </w:t>
      </w:r>
    </w:p>
    <w:p>
      <w:pPr>
        <w:pStyle w:val="Body"/>
        <w:numPr>
          <w:ilvl w:val="0"/>
          <w:numId w:val="6"/>
        </w:numPr>
      </w:pPr>
      <w:r>
        <w:rPr>
          <w:rtl w:val="0"/>
          <w:lang w:val="en-US"/>
        </w:rPr>
        <w:t xml:space="preserve">operation in full depletion with fast charge collection only by drift; </w:t>
      </w:r>
    </w:p>
    <w:p>
      <w:pPr>
        <w:pStyle w:val="Body"/>
        <w:numPr>
          <w:ilvl w:val="0"/>
          <w:numId w:val="6"/>
        </w:numPr>
      </w:pPr>
      <w:r>
        <w:rPr>
          <w:rtl w:val="0"/>
          <w:lang w:val="en-US"/>
        </w:rPr>
        <w:t xml:space="preserve">small charge collecting electrode for optimal signal-to-noise ratio; </w:t>
      </w:r>
    </w:p>
    <w:p>
      <w:pPr>
        <w:pStyle w:val="Body"/>
        <w:numPr>
          <w:ilvl w:val="0"/>
          <w:numId w:val="6"/>
        </w:numPr>
      </w:pPr>
      <w:r>
        <w:rPr>
          <w:rtl w:val="0"/>
          <w:lang w:val="en-US"/>
        </w:rPr>
        <w:t xml:space="preserve">scalable readout architecture with ultra-low power capability; </w:t>
      </w:r>
    </w:p>
    <w:p>
      <w:pPr>
        <w:pStyle w:val="Body"/>
        <w:numPr>
          <w:ilvl w:val="0"/>
          <w:numId w:val="6"/>
        </w:numPr>
      </w:pPr>
      <w:r>
        <w:rPr>
          <w:rtl w:val="0"/>
          <w:lang w:val="en-US"/>
        </w:rPr>
        <w:t xml:space="preserve">compatibility with standard CMOS fabrication processes. </w:t>
      </w:r>
    </w:p>
    <w:p>
      <w:pPr>
        <w:pStyle w:val="Body"/>
      </w:pPr>
      <w:r>
        <w:rPr>
          <w:rtl w:val="0"/>
          <w:lang w:val="en-US"/>
        </w:rPr>
        <w:t xml:space="preserve">The main goal of the project, started in 2019 with a timescale of 3 years, is the design, production and commissioning of an arrays of 512x512 pixels with a pitch of 25 x 25 </w:t>
      </w:r>
      <w:r>
        <w:rPr>
          <w:rtl w:val="0"/>
        </w:rPr>
        <w:t>μ</w:t>
      </w:r>
      <w:r>
        <w:rPr>
          <w:rtl w:val="0"/>
          <w:lang w:val="en-US"/>
        </w:rPr>
        <w:t xml:space="preserve">m2 (total matrix area 1.28x1.28 cm2), embedded electronics </w:t>
      </w:r>
      <w:r>
        <w:rPr>
          <w:rtl w:val="0"/>
          <w:lang w:val="es-ES_tradnl"/>
        </w:rPr>
        <w:t>​</w:t>
      </w:r>
      <w:r>
        <w:rPr>
          <w:rtl w:val="0"/>
          <w:lang w:val="en-US"/>
        </w:rPr>
        <w:t xml:space="preserve">performing sparsified readout and power consumption at the level of 20 mW/cm2.  </w:t>
      </w:r>
    </w:p>
    <w:p>
      <w:pPr>
        <w:pStyle w:val="Body"/>
      </w:pPr>
      <w:r>
        <w:rPr>
          <w:rtl w:val="0"/>
          <w:lang w:val="en-US"/>
        </w:rPr>
        <w:t xml:space="preserve">This test vehicle is expected the be a viable prototype for applications at the next generation lepton colliders. The reticle for the first tape-in, due to mid-2020, will also include smaller test matrices featuring pixel pitches down to 15 </w:t>
      </w:r>
      <w:r>
        <w:rPr>
          <w:rtl w:val="0"/>
        </w:rPr>
        <w:t>μ</w:t>
      </w:r>
      <w:r>
        <w:rPr>
          <w:rtl w:val="0"/>
          <w:lang w:val="en-US"/>
        </w:rPr>
        <w:t>m2 and exploratory geometries and front-end electronics circuitry.</w:t>
      </w:r>
    </w:p>
    <w:p>
      <w:pPr>
        <w:pStyle w:val="Body"/>
      </w:pPr>
      <w:r>
        <w:rPr>
          <w:rtl w:val="0"/>
          <w:lang w:val="en-US"/>
        </w:rPr>
        <w:t xml:space="preserve">The project has been retained for funding within a competitive call by INFN-CSN5, with a budget around 1 MEUR. </w:t>
      </w:r>
      <w:r>
        <w:rPr>
          <w:rtl w:val="0"/>
          <w:lang w:val="it-IT"/>
        </w:rPr>
        <w:t>The extension of the ARCADIA program</w:t>
      </w:r>
      <w:r>
        <w:rPr>
          <w:rtl w:val="0"/>
          <w:lang w:val="en-US"/>
        </w:rPr>
        <w:t xml:space="preserve">, towards </w:t>
      </w:r>
      <w:r>
        <w:rPr>
          <w:rtl w:val="0"/>
          <w:lang w:val="it-IT"/>
        </w:rPr>
        <w:t xml:space="preserve">the development of </w:t>
      </w:r>
      <w:r>
        <w:rPr>
          <w:rtl w:val="0"/>
          <w:lang w:val="en-US"/>
        </w:rPr>
        <w:t xml:space="preserve">a chip with 4096x4096 pixels, has been the core of an Expression of Interest submitted to the managing team in charge of preparing the AIDA project phase III draft, in the framework of which IHEP </w:t>
      </w:r>
      <w:r>
        <w:rPr>
          <w:rtl w:val="0"/>
          <w:lang w:val="it-IT"/>
        </w:rPr>
        <w:t>is</w:t>
      </w:r>
      <w:r>
        <w:rPr>
          <w:rtl w:val="0"/>
          <w:lang w:val="en-US"/>
        </w:rPr>
        <w:t xml:space="preserve"> proposed as associated partner.</w:t>
      </w:r>
    </w:p>
    <w:p>
      <w:pPr>
        <w:pStyle w:val="Body"/>
      </w:pPr>
    </w:p>
    <w:p>
      <w:pPr>
        <w:pStyle w:val="Section"/>
      </w:pPr>
      <w:r>
        <w:rPr>
          <w:rtl w:val="0"/>
          <w:lang w:val="en-US"/>
        </w:rPr>
        <w:t>1.</w:t>
      </w:r>
      <w:r>
        <w:rPr>
          <w:rtl w:val="0"/>
          <w:lang w:val="it-IT"/>
        </w:rPr>
        <w:t>2</w:t>
      </w:r>
      <w:r>
        <w:rPr>
          <w:rtl w:val="0"/>
          <w:lang w:val="en-US"/>
        </w:rPr>
        <w:t xml:space="preserve"> </w:t>
      </w:r>
      <w:r>
        <w:rPr>
          <w:rtl w:val="0"/>
          <w:lang w:val="it-IT"/>
        </w:rPr>
        <w:t>ARCADIA</w:t>
      </w:r>
      <w:r>
        <w:rPr>
          <w:rtl w:val="0"/>
          <w:lang w:val="en-US"/>
        </w:rPr>
        <w:t xml:space="preserve">: </w:t>
      </w:r>
      <w:bookmarkStart w:name="SubprojectsDescription" w:id="5"/>
      <w:r>
        <w:rPr>
          <w:rtl w:val="0"/>
          <w:lang w:val="en-US"/>
        </w:rPr>
        <w:t>Sub-projects Description</w:t>
      </w:r>
      <w:bookmarkEnd w:id="5"/>
    </w:p>
    <w:p>
      <w:pPr>
        <w:pStyle w:val="Body"/>
      </w:pPr>
    </w:p>
    <w:tbl>
      <w:tblPr>
        <w:tblW w:w="942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37"/>
        <w:gridCol w:w="3036"/>
        <w:gridCol w:w="5154"/>
      </w:tblGrid>
      <w:tr>
        <w:tblPrEx>
          <w:shd w:val="clear" w:color="auto" w:fill="ced7e7"/>
        </w:tblPrEx>
        <w:trPr>
          <w:trHeight w:val="257" w:hRule="atLeast"/>
        </w:trPr>
        <w:tc>
          <w:tcPr>
            <w:tcW w:type="dxa" w:w="1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hd w:val="nil" w:color="auto" w:fill="auto"/>
                <w:rtl w:val="0"/>
                <w:lang w:val="en-US"/>
              </w:rPr>
              <w:t>Project ID</w:t>
            </w:r>
          </w:p>
        </w:tc>
        <w:tc>
          <w:tcPr>
            <w:tcW w:type="dxa" w:w="3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hd w:val="nil" w:color="auto" w:fill="auto"/>
                <w:rtl w:val="0"/>
                <w:lang w:val="en-US"/>
              </w:rPr>
              <w:t>Title</w:t>
            </w:r>
          </w:p>
        </w:tc>
        <w:tc>
          <w:tcPr>
            <w:tcW w:type="dxa" w:w="5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hd w:val="nil" w:color="auto" w:fill="auto"/>
                <w:rtl w:val="0"/>
                <w:lang w:val="en-US"/>
              </w:rPr>
              <w:t>Description</w:t>
            </w:r>
          </w:p>
        </w:tc>
      </w:tr>
      <w:tr>
        <w:tblPrEx>
          <w:shd w:val="clear" w:color="auto" w:fill="ced7e7"/>
        </w:tblPrEx>
        <w:trPr>
          <w:trHeight w:val="257" w:hRule="atLeast"/>
        </w:trPr>
        <w:tc>
          <w:tcPr>
            <w:tcW w:type="dxa" w:w="1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w:t>
            </w:r>
            <w:r>
              <w:rPr>
                <w:shd w:val="nil" w:color="auto" w:fill="auto"/>
                <w:rtl w:val="0"/>
                <w:lang w:val="it-IT"/>
              </w:rPr>
              <w:t>2</w:t>
            </w:r>
            <w:r>
              <w:rPr>
                <w:shd w:val="nil" w:color="auto" w:fill="auto"/>
                <w:rtl w:val="0"/>
                <w:lang w:val="en-US"/>
              </w:rPr>
              <w:t>.1</w:t>
            </w:r>
          </w:p>
        </w:tc>
        <w:tc>
          <w:tcPr>
            <w:tcW w:type="dxa" w:w="3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it-IT"/>
              </w:rPr>
              <w:t>Sensor&amp;Technology</w:t>
            </w:r>
          </w:p>
        </w:tc>
        <w:tc>
          <w:tcPr>
            <w:tcW w:type="dxa" w:w="5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it-IT"/>
              </w:rPr>
              <w:t>Simulation and design of CMOS sensors</w:t>
            </w:r>
          </w:p>
        </w:tc>
      </w:tr>
      <w:tr>
        <w:tblPrEx>
          <w:shd w:val="clear" w:color="auto" w:fill="ced7e7"/>
        </w:tblPrEx>
        <w:trPr>
          <w:trHeight w:val="557" w:hRule="atLeast"/>
        </w:trPr>
        <w:tc>
          <w:tcPr>
            <w:tcW w:type="dxa" w:w="1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w:t>
            </w:r>
            <w:r>
              <w:rPr>
                <w:shd w:val="nil" w:color="auto" w:fill="auto"/>
                <w:rtl w:val="0"/>
                <w:lang w:val="it-IT"/>
              </w:rPr>
              <w:t>2</w:t>
            </w:r>
            <w:r>
              <w:rPr>
                <w:shd w:val="nil" w:color="auto" w:fill="auto"/>
                <w:rtl w:val="0"/>
                <w:lang w:val="en-US"/>
              </w:rPr>
              <w:t>.2</w:t>
            </w:r>
          </w:p>
        </w:tc>
        <w:tc>
          <w:tcPr>
            <w:tcW w:type="dxa" w:w="3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it-IT"/>
              </w:rPr>
              <w:t>CMOS IP &amp; Chip Design</w:t>
            </w:r>
          </w:p>
        </w:tc>
        <w:tc>
          <w:tcPr>
            <w:tcW w:type="dxa" w:w="5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it-IT"/>
              </w:rPr>
              <w:t>Design of CMOS IP Cores and MAPS Chip Integration</w:t>
            </w:r>
          </w:p>
        </w:tc>
      </w:tr>
      <w:tr>
        <w:tblPrEx>
          <w:shd w:val="clear" w:color="auto" w:fill="ced7e7"/>
        </w:tblPrEx>
        <w:trPr>
          <w:trHeight w:val="557" w:hRule="atLeast"/>
        </w:trPr>
        <w:tc>
          <w:tcPr>
            <w:tcW w:type="dxa" w:w="1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w:t>
            </w:r>
            <w:r>
              <w:rPr>
                <w:shd w:val="nil" w:color="auto" w:fill="auto"/>
                <w:rtl w:val="0"/>
                <w:lang w:val="it-IT"/>
              </w:rPr>
              <w:t>2</w:t>
            </w:r>
            <w:r>
              <w:rPr>
                <w:shd w:val="nil" w:color="auto" w:fill="auto"/>
                <w:rtl w:val="0"/>
                <w:lang w:val="en-US"/>
              </w:rPr>
              <w:t>.3</w:t>
            </w:r>
          </w:p>
        </w:tc>
        <w:tc>
          <w:tcPr>
            <w:tcW w:type="dxa" w:w="3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it-IT"/>
              </w:rPr>
              <w:t>Data Acquisition</w:t>
            </w:r>
          </w:p>
        </w:tc>
        <w:tc>
          <w:tcPr>
            <w:tcW w:type="dxa" w:w="5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it-IT"/>
              </w:rPr>
              <w:t>Development of DAQ HW/FW/SW for the full-chip ARCADIA-MD1 MAPS</w:t>
            </w:r>
          </w:p>
        </w:tc>
      </w:tr>
      <w:tr>
        <w:tblPrEx>
          <w:shd w:val="clear" w:color="auto" w:fill="ced7e7"/>
        </w:tblPrEx>
        <w:trPr>
          <w:trHeight w:val="557" w:hRule="atLeast"/>
        </w:trPr>
        <w:tc>
          <w:tcPr>
            <w:tcW w:type="dxa" w:w="1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1.2.4</w:t>
            </w:r>
          </w:p>
        </w:tc>
        <w:tc>
          <w:tcPr>
            <w:tcW w:type="dxa" w:w="3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both"/>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Application and System</w:t>
            </w:r>
          </w:p>
        </w:tc>
        <w:tc>
          <w:tcPr>
            <w:tcW w:type="dxa" w:w="5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both"/>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Characterisation and system-grade validation, test beam and data reconstruction</w:t>
            </w:r>
          </w:p>
        </w:tc>
      </w:tr>
      <w:tr>
        <w:tblPrEx>
          <w:shd w:val="clear" w:color="auto" w:fill="ced7e7"/>
        </w:tblPrEx>
        <w:trPr>
          <w:trHeight w:val="257" w:hRule="atLeast"/>
        </w:trPr>
        <w:tc>
          <w:tcPr>
            <w:tcW w:type="dxa" w:w="1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1.2.5</w:t>
            </w:r>
          </w:p>
        </w:tc>
        <w:tc>
          <w:tcPr>
            <w:tcW w:type="dxa" w:w="3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both"/>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Radiation Hardness</w:t>
            </w:r>
          </w:p>
        </w:tc>
        <w:tc>
          <w:tcPr>
            <w:tcW w:type="dxa" w:w="5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both"/>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Radiation hardness characterisation</w:t>
            </w:r>
          </w:p>
        </w:tc>
      </w:tr>
      <w:tr>
        <w:tblPrEx>
          <w:shd w:val="clear" w:color="auto" w:fill="ced7e7"/>
        </w:tblPrEx>
        <w:trPr>
          <w:trHeight w:val="557" w:hRule="atLeast"/>
        </w:trPr>
        <w:tc>
          <w:tcPr>
            <w:tcW w:type="dxa" w:w="1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1.2.6</w:t>
            </w:r>
          </w:p>
        </w:tc>
        <w:tc>
          <w:tcPr>
            <w:tcW w:type="dxa" w:w="3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both"/>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Space Applications</w:t>
            </w:r>
          </w:p>
        </w:tc>
        <w:tc>
          <w:tcPr>
            <w:tcW w:type="dxa" w:w="5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it-IT"/>
              </w:rPr>
              <w:t>Characterisation and qualification for space applications</w:t>
            </w:r>
          </w:p>
        </w:tc>
      </w:tr>
    </w:tbl>
    <w:p>
      <w:pPr>
        <w:pStyle w:val="Body"/>
        <w:ind w:left="108" w:hanging="108"/>
      </w:pPr>
    </w:p>
    <w:p>
      <w:pPr>
        <w:pStyle w:val="Body"/>
      </w:pPr>
    </w:p>
    <w:p>
      <w:pPr>
        <w:pStyle w:val="Section"/>
      </w:pPr>
      <w:r>
        <w:rPr>
          <w:rtl w:val="0"/>
          <w:lang w:val="en-US"/>
        </w:rPr>
        <w:t>1.1 Vertex Prototype: CEPC Relationship</w:t>
      </w:r>
    </w:p>
    <w:p>
      <w:pPr>
        <w:pStyle w:val="Body"/>
      </w:pPr>
    </w:p>
    <w:p>
      <w:pPr>
        <w:pStyle w:val="Body"/>
      </w:pPr>
      <w:r>
        <w:rPr>
          <w:rtl w:val="0"/>
          <w:lang w:val="en-US"/>
        </w:rPr>
        <w:t>Reconstructing with the highest precision the perigee parameters of charged particle trajectories in a dense environment</w:t>
      </w:r>
      <w:r>
        <w:rPr>
          <w:rtl w:val="0"/>
          <w:lang w:val="it-IT"/>
        </w:rPr>
        <w:t xml:space="preserve"> </w:t>
      </w:r>
      <w:r>
        <w:rPr>
          <w:rtl w:val="0"/>
          <w:lang w:val="en-US"/>
        </w:rPr>
        <w:t>is essential for flavo</w:t>
      </w:r>
      <w:r>
        <w:rPr>
          <w:rtl w:val="0"/>
          <w:lang w:val="it-IT"/>
        </w:rPr>
        <w:t>u</w:t>
      </w:r>
      <w:r>
        <w:rPr>
          <w:rtl w:val="0"/>
          <w:lang w:val="en-US"/>
        </w:rPr>
        <w:t>r tagging and secondary vertex reconstruction, fundamental tools in the exploitation of the physics program at current and future accelerators. This can only be made possible by using pixel detectors in the layers closer to the interaction point, as long as high spatial resolution, speed, low power and radiation &amp; fault tolerance can be guaranteed.</w:t>
      </w:r>
    </w:p>
    <w:p>
      <w:pPr>
        <w:pStyle w:val="Section"/>
      </w:pPr>
      <w:r>
        <w:rPr>
          <w:rtl w:val="0"/>
          <w:lang w:val="en-US"/>
        </w:rPr>
        <w:t>1.1 Vertex Prototype: Project Schedule</w:t>
      </w:r>
    </w:p>
    <w:p>
      <w:pPr>
        <w:pStyle w:val="Body"/>
      </w:pPr>
    </w:p>
    <w:p>
      <w:pPr>
        <w:pStyle w:val="Body"/>
      </w:pPr>
      <w:r>
        <w:rPr>
          <w:rtl w:val="0"/>
          <w:lang w:val="en-US"/>
        </w:rPr>
        <w:t>The plan of the activities over the three year INFN project, started officially on January 1st, 2019, are summarized in the following Gantt chart:</w:t>
      </w:r>
    </w:p>
    <w:p>
      <w:pPr>
        <w:pStyle w:val="Body"/>
      </w:pPr>
      <w:r>
        <w:drawing>
          <wp:inline distT="0" distB="0" distL="0" distR="0">
            <wp:extent cx="6006017" cy="4326178"/>
            <wp:effectExtent l="0" t="0" r="0" b="0"/>
            <wp:docPr id="1073741825" name="officeArt object" descr="Screenshot 2019-12-28 at 23.00.09.png"/>
            <wp:cNvGraphicFramePr/>
            <a:graphic xmlns:a="http://schemas.openxmlformats.org/drawingml/2006/main">
              <a:graphicData uri="http://schemas.openxmlformats.org/drawingml/2006/picture">
                <pic:pic xmlns:pic="http://schemas.openxmlformats.org/drawingml/2006/picture">
                  <pic:nvPicPr>
                    <pic:cNvPr id="1073741825" name="Screenshot 2019-12-28 at 23.00.09.png" descr="Screenshot 2019-12-28 at 23.00.09.png"/>
                    <pic:cNvPicPr>
                      <a:picLocks noChangeAspect="1"/>
                    </pic:cNvPicPr>
                  </pic:nvPicPr>
                  <pic:blipFill>
                    <a:blip r:embed="rId4">
                      <a:extLst/>
                    </a:blip>
                    <a:stretch>
                      <a:fillRect/>
                    </a:stretch>
                  </pic:blipFill>
                  <pic:spPr>
                    <a:xfrm>
                      <a:off x="0" y="0"/>
                      <a:ext cx="6006017" cy="4326178"/>
                    </a:xfrm>
                    <a:prstGeom prst="rect">
                      <a:avLst/>
                    </a:prstGeom>
                    <a:ln w="12700" cap="flat">
                      <a:noFill/>
                      <a:miter lim="400000"/>
                    </a:ln>
                    <a:effectLst/>
                  </pic:spPr>
                </pic:pic>
              </a:graphicData>
            </a:graphic>
          </wp:inline>
        </w:drawing>
      </w:r>
    </w:p>
    <w:p>
      <w:pPr>
        <w:pStyle w:val="Body"/>
      </w:pPr>
      <w:r>
        <w:rPr>
          <w:rtl w:val="0"/>
          <w:lang w:val="it-IT"/>
        </w:rPr>
        <w:t>A</w:t>
      </w:r>
      <w:r>
        <w:rPr>
          <w:rtl w:val="0"/>
          <w:lang w:val="en-US"/>
        </w:rPr>
        <w:t xml:space="preserve">t the time of writing (April 2020) the project is keeping track, targeting the </w:t>
      </w:r>
      <w:r>
        <w:rPr>
          <w:rtl w:val="0"/>
          <w:lang w:val="it-IT"/>
        </w:rPr>
        <w:t>tapeout</w:t>
      </w:r>
      <w:r>
        <w:rPr>
          <w:rtl w:val="0"/>
          <w:lang w:val="en-US"/>
        </w:rPr>
        <w:t xml:space="preserve"> of the first </w:t>
      </w:r>
      <w:r>
        <w:rPr>
          <w:rtl w:val="0"/>
          <w:lang w:val="it-IT"/>
        </w:rPr>
        <w:t xml:space="preserve">full </w:t>
      </w:r>
      <w:r>
        <w:rPr>
          <w:rtl w:val="0"/>
          <w:lang w:val="en-US"/>
        </w:rPr>
        <w:t xml:space="preserve">chip and test structures in </w:t>
      </w:r>
      <w:r>
        <w:rPr>
          <w:rtl w:val="0"/>
          <w:lang w:val="it-IT"/>
        </w:rPr>
        <w:t>July</w:t>
      </w:r>
      <w:r>
        <w:rPr>
          <w:rtl w:val="0"/>
        </w:rPr>
        <w:t xml:space="preserve"> 2020.</w:t>
      </w:r>
      <w:r>
        <w:rPr>
          <w:rtl w:val="0"/>
          <w:lang w:val="it-IT"/>
        </w:rPr>
        <w:t xml:space="preserve"> A first test-chip featuring relevant CMOS IP cores was sent to production in November 2019, and the Collaboration is currently collecting data from pseudo-matrixes and a 2x2mm</w:t>
      </w:r>
      <w:r>
        <w:rPr>
          <w:vertAlign w:val="superscript"/>
          <w:rtl w:val="0"/>
          <w:lang w:val="it-IT"/>
        </w:rPr>
        <w:t>2</w:t>
      </w:r>
      <w:r>
        <w:rPr>
          <w:rtl w:val="0"/>
          <w:lang w:val="it-IT"/>
        </w:rPr>
        <w:t xml:space="preserve"> small-scale MAPS, which demonstrate the ability to fully deplete the CMOS sensors in </w:t>
      </w:r>
      <w:r>
        <w:rPr>
          <w:rtl w:val="0"/>
          <w:lang w:val="en-US"/>
        </w:rPr>
        <w:t>100 and 300</w:t>
      </w:r>
      <w:r>
        <w:rPr>
          <w:rtl w:val="0"/>
        </w:rPr>
        <w:t>µ</w:t>
      </w:r>
      <w:r>
        <w:rPr>
          <w:rtl w:val="0"/>
        </w:rPr>
        <w:t xml:space="preserve">m </w:t>
      </w:r>
      <w:r>
        <w:rPr>
          <w:rtl w:val="0"/>
          <w:lang w:val="it-IT"/>
        </w:rPr>
        <w:t>thick sensors.</w:t>
      </w:r>
    </w:p>
    <w:p>
      <w:pPr>
        <w:pStyle w:val="Body"/>
      </w:pPr>
    </w:p>
    <w:p>
      <w:pPr>
        <w:pStyle w:val="Section"/>
      </w:pPr>
      <w:r>
        <w:rPr>
          <w:rtl w:val="0"/>
          <w:lang w:val="en-US"/>
        </w:rPr>
        <w:t>1.1 Vertex Prototype: Funding Availability</w:t>
      </w:r>
    </w:p>
    <w:p>
      <w:pPr>
        <w:pStyle w:val="Body"/>
      </w:pPr>
      <w:r>
        <w:rPr>
          <w:rtl w:val="0"/>
          <w:lang w:val="en-US"/>
        </w:rPr>
        <w:t xml:space="preserve">The total cost of the project has been estimated to be </w:t>
      </w:r>
      <w:r>
        <w:rPr>
          <w:rtl w:val="0"/>
          <w:lang w:val="it-IT"/>
        </w:rPr>
        <w:t>950</w:t>
      </w:r>
      <w:r>
        <w:rPr>
          <w:rtl w:val="0"/>
          <w:lang w:val="en-US"/>
        </w:rPr>
        <w:t xml:space="preserve"> kEUR, largely dominated by the </w:t>
      </w:r>
      <w:r>
        <w:rPr>
          <w:rtl w:val="0"/>
          <w:lang w:val="it-IT"/>
        </w:rPr>
        <w:t xml:space="preserve">CMOS maskset and </w:t>
      </w:r>
      <w:r>
        <w:rPr>
          <w:rtl w:val="0"/>
          <w:lang w:val="en-US"/>
        </w:rPr>
        <w:t>production runs. The full budget has been granted after the project was retained for funding, following a selection based on independent evaluators and a final discussion with a panel of INFN referees. Additional external funding, up to 400 kEUR, were secured by the Collaboration at the end of 2019 and will allow for extra silicon fabrication, back-end and stitching R&amp;D.</w:t>
      </w:r>
    </w:p>
    <w:p>
      <w:pPr>
        <w:pStyle w:val="Section"/>
      </w:pPr>
      <w:r>
        <w:rPr>
          <w:rtl w:val="0"/>
          <w:lang w:val="en-US"/>
        </w:rPr>
        <w:t>1.1 Vertex Prototype: Leadership Arrangement</w:t>
      </w:r>
    </w:p>
    <w:p>
      <w:pPr>
        <w:pStyle w:val="Body"/>
      </w:pPr>
      <w:r>
        <w:rPr>
          <w:rtl w:val="0"/>
          <w:lang w:val="it-IT"/>
        </w:rPr>
        <w:t xml:space="preserve">The management board of the ARCADIA project includes experts on CMOS and Sensor design, DAQ development, radiation hardness and application of innovative silicon tracker and sensors to frontier detectors in HEP, medical and space applications: Manuel Rolo (PI), Lucio Pancheri, Alessandro Gabrielli, Romualdo Santoro, Jeffery Wyss, Roberto Iuppa, Gianluca Traversi, Massimo Caccia. </w:t>
      </w:r>
    </w:p>
    <w:p>
      <w:pPr>
        <w:pStyle w:val="Section"/>
      </w:pPr>
      <w:r>
        <w:rPr>
          <w:rtl w:val="0"/>
          <w:lang w:val="en-US"/>
        </w:rPr>
        <w:t>1.1 Vertex Prototype: Manpower Resources</w:t>
      </w:r>
    </w:p>
    <w:p>
      <w:pPr>
        <w:pStyle w:val="Body"/>
      </w:pPr>
      <w:r>
        <w:rPr>
          <w:rtl w:val="0"/>
          <w:lang w:val="it-IT"/>
        </w:rPr>
        <w:t xml:space="preserve">A total of 7 INFN Divisions contribute to the ARCADIA program, and the Collaboration active participants list is 55 people, mostly staff INFN and University Associates. </w:t>
      </w:r>
      <w:r>
        <w:rPr>
          <w:rtl w:val="0"/>
          <w:lang w:val="en-US"/>
        </w:rPr>
        <w:t>The allocated manpower corresponds to an average value of 15 FTE/year, with about 3 FTE/year funded on the project budget.</w:t>
      </w:r>
      <w:r/>
    </w:p>
    <w:sectPr>
      <w:headerReference w:type="default" r:id="rId5"/>
      <w:footerReference w:type="default" r:id="rId6"/>
      <w:pgSz w:w="11900" w:h="16840" w:orient="portrait"/>
      <w:pgMar w:top="1418" w:right="1134" w:bottom="1418" w:left="1134" w:header="0" w:footer="104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 w:name="Wingdings">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pPr>
    <w:r>
      <w:rPr>
        <w:rtl w:val="0"/>
        <w:lang w:val="da-DK"/>
      </w:rPr>
      <w:t xml:space="preserve">Page </w:t>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rtl w:val="0"/>
        <w:lang w:val="en-US"/>
      </w:rPr>
      <w:t xml:space="preserve"> of </w:t>
    </w:r>
    <w:r>
      <w:rPr>
        <w:rtl w:val="0"/>
      </w:rPr>
      <w:fldChar w:fldCharType="begin" w:fldLock="0"/>
    </w:r>
    <w:r>
      <w:rPr>
        <w:rtl w:val="0"/>
      </w:rPr>
      <w:instrText xml:space="preserve"> NUMPAGES </w:instrText>
    </w:r>
    <w:r>
      <w:rPr>
        <w:rtl w:val="0"/>
      </w:rPr>
      <w:fldChar w:fldCharType="separate" w:fldLock="0"/>
    </w:r>
    <w:r>
      <w:rPr>
        <w:rtl w:val="0"/>
      </w:rPr>
    </w:r>
    <w:r>
      <w:rPr>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lowerRoman"/>
      <w:suff w:val="tab"/>
      <w:lvlText w:val="%1."/>
      <w:lvlJc w:val="left"/>
      <w:pPr>
        <w:ind w:left="567" w:hanging="26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983" w:hanging="26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03" w:hanging="26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2423" w:hanging="26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3143" w:hanging="26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863" w:hanging="26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4583" w:hanging="26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5303" w:hanging="26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23" w:hanging="26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0"/>
  </w:abstractNum>
  <w:abstractNum w:abstractNumId="3">
    <w:multiLevelType w:val="hybridMultilevel"/>
    <w:styleLink w:val="Imported Style 2.0"/>
    <w:lvl w:ilvl="0">
      <w:start w:val="1"/>
      <w:numFmt w:val="bullet"/>
      <w:suff w:val="tab"/>
      <w:lvlText w:val="o"/>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s"/>
  </w:abstractNum>
  <w:abstractNum w:abstractNumId="5">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120" w:after="0" w:line="240" w:lineRule="auto"/>
      <w:ind w:left="0" w:right="0" w:firstLine="0"/>
      <w:jc w:val="both"/>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a-DK"/>
      <w14:textOutline>
        <w14:noFill/>
      </w14:textOutline>
      <w14:textFill>
        <w14:solidFill>
          <w14:srgbClr w14:val="000000"/>
        </w14:solidFill>
      </w14:textFill>
    </w:rPr>
  </w:style>
  <w:style w:type="paragraph" w:styleId="Title">
    <w:name w:val="Title"/>
    <w:next w:val="Body"/>
    <w:pPr>
      <w:keepNext w:val="0"/>
      <w:keepLines w:val="0"/>
      <w:pageBreakBefore w:val="0"/>
      <w:widowControl w:val="0"/>
      <w:shd w:val="clear" w:color="auto" w:fill="auto"/>
      <w:suppressAutoHyphens w:val="0"/>
      <w:bidi w:val="0"/>
      <w:spacing w:before="120" w:after="300" w:line="240" w:lineRule="auto"/>
      <w:ind w:left="0" w:right="0" w:firstLine="0"/>
      <w:jc w:val="center"/>
      <w:outlineLvl w:val="9"/>
    </w:pPr>
    <w:rPr>
      <w:rFonts w:ascii="Cambria" w:cs="Arial Unicode MS" w:hAnsi="Cambria" w:eastAsia="Arial Unicode MS"/>
      <w:b w:val="0"/>
      <w:bCs w:val="0"/>
      <w:i w:val="0"/>
      <w:iCs w:val="0"/>
      <w:caps w:val="0"/>
      <w:smallCaps w:val="0"/>
      <w:strike w:val="0"/>
      <w:dstrike w:val="0"/>
      <w:outline w:val="0"/>
      <w:color w:val="17365d"/>
      <w:spacing w:val="5"/>
      <w:kern w:val="28"/>
      <w:position w:val="0"/>
      <w:sz w:val="52"/>
      <w:szCs w:val="52"/>
      <w:u w:val="none" w:color="17365d"/>
      <w:shd w:val="nil" w:color="auto" w:fill="auto"/>
      <w:vertAlign w:val="baseline"/>
      <w:lang w:val="en-US"/>
      <w14:textOutline>
        <w14:noFill/>
      </w14:textOutline>
      <w14:textFill>
        <w14:solidFill>
          <w14:srgbClr w14:val="17365D"/>
        </w14:solidFill>
      </w14:textFill>
    </w:rPr>
  </w:style>
  <w:style w:type="paragraph" w:styleId="Section">
    <w:name w:val="Section"/>
    <w:next w:val="Body"/>
    <w:pPr>
      <w:keepNext w:val="0"/>
      <w:keepLines w:val="0"/>
      <w:pageBreakBefore w:val="0"/>
      <w:widowControl w:val="0"/>
      <w:shd w:val="clear" w:color="auto" w:fill="auto"/>
      <w:suppressAutoHyphens w:val="0"/>
      <w:bidi w:val="0"/>
      <w:spacing w:before="240" w:after="0" w:line="240" w:lineRule="auto"/>
      <w:ind w:left="0" w:right="0" w:firstLine="0"/>
      <w:jc w:val="both"/>
      <w:outlineLvl w:val="0"/>
    </w:pPr>
    <w:rPr>
      <w:rFonts w:ascii="Times New Roman" w:cs="Arial Unicode MS" w:hAnsi="Times New Roman" w:eastAsia="Arial Unicode MS"/>
      <w:b w:val="0"/>
      <w:bCs w:val="0"/>
      <w:i w:val="0"/>
      <w:iCs w:val="0"/>
      <w:caps w:val="0"/>
      <w:smallCaps w:val="0"/>
      <w:strike w:val="0"/>
      <w:dstrike w:val="0"/>
      <w:outline w:val="0"/>
      <w:color w:val="4f81bd"/>
      <w:spacing w:val="0"/>
      <w:kern w:val="0"/>
      <w:position w:val="0"/>
      <w:sz w:val="32"/>
      <w:szCs w:val="32"/>
      <w:u w:val="none" w:color="4f81bd"/>
      <w:shd w:val="nil" w:color="auto" w:fill="auto"/>
      <w:vertAlign w:val="baseline"/>
      <w:lang w:val="en-US"/>
      <w14:textFill>
        <w14:solidFill>
          <w14:srgbClr w14:val="4F81BD"/>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12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1"/>
      </w:numPr>
    </w:pPr>
  </w:style>
  <w:style w:type="numbering" w:styleId="Imported Style 2.0">
    <w:name w:val="Imported Style 2.0"/>
    <w:pPr>
      <w:numPr>
        <w:numId w:val="3"/>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alibri" w:cs="Calibri" w:hAnsi="Calibri" w:eastAsia="Calibri"/>
      <w:i w:val="1"/>
      <w:iCs w:val="1"/>
    </w:rPr>
  </w:style>
  <w:style w:type="character" w:styleId="Hyperlink.1">
    <w:name w:val="Hyperlink.1"/>
    <w:basedOn w:val="Link"/>
    <w:next w:val="Hyperlink.1"/>
    <w:rPr>
      <w:rFonts w:ascii="Calibri" w:cs="Calibri" w:hAnsi="Calibri" w:eastAsia="Calibri"/>
      <w:i w:val="1"/>
      <w:iCs w:val="1"/>
    </w:rPr>
  </w:style>
  <w:style w:type="numbering" w:styleId="Bullets">
    <w:name w:val="Bullets"/>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mbria"/>
        <a:ea typeface="Cambria"/>
        <a:cs typeface="Cambria"/>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