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120" w:after="300"/>
        <w:contextualSpacing/>
        <w:rPr/>
      </w:pPr>
      <w:r>
        <w:rPr/>
        <w:fldChar w:fldCharType="begin"/>
      </w:r>
      <w:r>
        <w:rPr/>
        <w:instrText> TITLE </w:instrText>
      </w:r>
      <w:r>
        <w:rPr/>
        <w:fldChar w:fldCharType="separate"/>
      </w:r>
      <w:r>
        <w:rPr/>
        <w:t>CEPC Detector R&amp;D Project</w:t>
      </w:r>
      <w:r>
        <w:rPr/>
        <w:fldChar w:fldCharType="end"/>
      </w:r>
    </w:p>
    <w:p>
      <w:pPr>
        <w:pStyle w:val="Title"/>
        <w:spacing w:before="120" w:after="300"/>
        <w:contextualSpacing/>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p>
    <w:p>
      <w:pPr>
        <w:pStyle w:val="Normal"/>
        <w:rPr/>
      </w:pPr>
      <w:r>
        <w:rPr/>
      </w:r>
    </w:p>
    <w:tbl>
      <w:tblPr>
        <w:tblStyle w:val="TableGrid"/>
        <w:tblW w:w="6255" w:type="dxa"/>
        <w:jc w:val="center"/>
        <w:tblInd w:w="0" w:type="dxa"/>
        <w:tblCellMar>
          <w:top w:w="0" w:type="dxa"/>
          <w:left w:w="108" w:type="dxa"/>
          <w:bottom w:w="0" w:type="dxa"/>
          <w:right w:w="108" w:type="dxa"/>
        </w:tblCellMar>
        <w:tblLook w:noVBand="1" w:val="04a0" w:noHBand="0" w:lastColumn="0" w:firstColumn="1" w:lastRow="0" w:firstRow="1"/>
      </w:tblPr>
      <w:tblGrid>
        <w:gridCol w:w="3415"/>
        <w:gridCol w:w="2839"/>
      </w:tblGrid>
      <w:tr>
        <w:trPr/>
        <w:tc>
          <w:tcPr>
            <w:tcW w:w="3415" w:type="dxa"/>
            <w:tcBorders/>
            <w:shd w:fill="auto" w:val="clear"/>
            <w:vAlign w:val="center"/>
          </w:tcPr>
          <w:p>
            <w:pPr>
              <w:pStyle w:val="Normal"/>
              <w:widowControl/>
              <w:bidi w:val="0"/>
              <w:spacing w:before="120" w:after="0"/>
              <w:jc w:val="both"/>
              <w:rPr>
                <w:b/>
                <w:b/>
              </w:rPr>
            </w:pPr>
            <w:r>
              <w:rPr/>
              <w:t>Document Responsible:</w:t>
            </w:r>
          </w:p>
        </w:tc>
        <w:tc>
          <w:tcPr>
            <w:tcW w:w="2839" w:type="dxa"/>
            <w:tcBorders/>
            <w:shd w:fill="auto" w:val="clear"/>
            <w:vAlign w:val="center"/>
          </w:tcPr>
          <w:p>
            <w:pPr>
              <w:pStyle w:val="Normal"/>
              <w:spacing w:before="120" w:after="0"/>
              <w:rPr/>
            </w:pPr>
            <w:r>
              <w:rPr/>
              <w:t>Roberto Ferrari</w:t>
            </w:r>
          </w:p>
        </w:tc>
      </w:tr>
      <w:tr>
        <w:trPr/>
        <w:tc>
          <w:tcPr>
            <w:tcW w:w="3415" w:type="dxa"/>
            <w:tcBorders/>
            <w:shd w:fill="auto" w:val="clear"/>
            <w:vAlign w:val="center"/>
          </w:tcPr>
          <w:p>
            <w:pPr>
              <w:pStyle w:val="Normal"/>
              <w:widowControl/>
              <w:bidi w:val="0"/>
              <w:spacing w:before="120" w:after="0"/>
              <w:jc w:val="both"/>
              <w:rPr/>
            </w:pPr>
            <w:r>
              <w:rPr/>
              <w:t xml:space="preserve">Last saved by </w:t>
            </w:r>
            <w:r>
              <w:rPr/>
              <w:fldChar w:fldCharType="begin"/>
            </w:r>
            <w:r>
              <w:rPr/>
              <w:instrText> LASTSAVEDBY </w:instrText>
            </w:r>
            <w:r>
              <w:rPr/>
              <w:fldChar w:fldCharType="separate"/>
            </w:r>
            <w:r>
              <w:rPr/>
              <w:t>Roberto Ferrari</w:t>
            </w:r>
            <w:r>
              <w:rPr/>
              <w:fldChar w:fldCharType="end"/>
            </w:r>
            <w:r>
              <w:rPr/>
              <w:t xml:space="preserve"> on</w:t>
            </w:r>
          </w:p>
        </w:tc>
        <w:tc>
          <w:tcPr>
            <w:tcW w:w="2839" w:type="dxa"/>
            <w:tcBorders/>
            <w:shd w:fill="auto" w:val="clear"/>
            <w:vAlign w:val="center"/>
          </w:tcPr>
          <w:p>
            <w:pPr>
              <w:pStyle w:val="Normal"/>
              <w:widowControl/>
              <w:bidi w:val="0"/>
              <w:spacing w:before="120" w:after="0"/>
              <w:jc w:val="both"/>
              <w:rPr/>
            </w:pPr>
            <w:r>
              <w:rPr/>
              <w:t>17/12/19 08:00:00 PM</w:t>
            </w:r>
          </w:p>
        </w:tc>
      </w:tr>
      <w:tr>
        <w:trPr/>
        <w:tc>
          <w:tcPr>
            <w:tcW w:w="3415" w:type="dxa"/>
            <w:tcBorders/>
            <w:shd w:fill="auto" w:val="clear"/>
            <w:vAlign w:val="center"/>
          </w:tcPr>
          <w:p>
            <w:pPr>
              <w:pStyle w:val="Normal"/>
              <w:widowControl/>
              <w:bidi w:val="0"/>
              <w:spacing w:before="120" w:after="0"/>
              <w:jc w:val="both"/>
              <w:rPr>
                <w:b/>
                <w:b/>
              </w:rPr>
            </w:pPr>
            <w:r>
              <w:rPr/>
              <w:t>Revision number:</w:t>
            </w:r>
          </w:p>
        </w:tc>
        <w:tc>
          <w:tcPr>
            <w:tcW w:w="2839" w:type="dxa"/>
            <w:tcBorders/>
            <w:shd w:fill="auto" w:val="clear"/>
            <w:vAlign w:val="center"/>
          </w:tcPr>
          <w:p>
            <w:pPr>
              <w:pStyle w:val="Normal"/>
              <w:widowControl/>
              <w:bidi w:val="0"/>
              <w:spacing w:before="120" w:after="0"/>
              <w:jc w:val="both"/>
              <w:rPr/>
            </w:pPr>
            <w:r>
              <w:rPr/>
              <w:t>1</w:t>
            </w:r>
          </w:p>
        </w:tc>
      </w:tr>
      <w:tr>
        <w:trPr/>
        <w:tc>
          <w:tcPr>
            <w:tcW w:w="3415" w:type="dxa"/>
            <w:tcBorders/>
            <w:shd w:fill="auto" w:val="clear"/>
            <w:vAlign w:val="center"/>
          </w:tcPr>
          <w:p>
            <w:pPr>
              <w:pStyle w:val="Normal"/>
              <w:widowControl/>
              <w:bidi w:val="0"/>
              <w:spacing w:before="120" w:after="0"/>
              <w:jc w:val="both"/>
              <w:rPr/>
            </w:pPr>
            <w:r>
              <w:rPr/>
            </w:r>
          </w:p>
        </w:tc>
        <w:tc>
          <w:tcPr>
            <w:tcW w:w="2839" w:type="dxa"/>
            <w:tcBorders/>
            <w:shd w:fill="auto" w:val="clear"/>
            <w:vAlign w:val="center"/>
          </w:tcPr>
          <w:p>
            <w:pPr>
              <w:pStyle w:val="Normal"/>
              <w:widowControl/>
              <w:bidi w:val="0"/>
              <w:spacing w:before="120" w:after="0"/>
              <w:jc w:val="both"/>
              <w:rPr/>
            </w:pPr>
            <w:r>
              <w:rPr/>
            </w:r>
          </w:p>
        </w:tc>
      </w:tr>
    </w:tbl>
    <w:p>
      <w:pPr>
        <w:pStyle w:val="Section"/>
        <w:rPr/>
      </w:pPr>
      <w:r>
        <w:rPr/>
        <w:t>Change history</w:t>
      </w:r>
    </w:p>
    <w:tbl>
      <w:tblPr>
        <w:tblStyle w:val="TableGrid"/>
        <w:tblW w:w="9126" w:type="dxa"/>
        <w:jc w:val="left"/>
        <w:tblInd w:w="108" w:type="dxa"/>
        <w:tblCellMar>
          <w:top w:w="0" w:type="dxa"/>
          <w:left w:w="108" w:type="dxa"/>
          <w:bottom w:w="0" w:type="dxa"/>
          <w:right w:w="108" w:type="dxa"/>
        </w:tblCellMar>
        <w:tblLook w:noVBand="1" w:val="04a0" w:noHBand="0" w:lastColumn="0" w:firstColumn="1" w:lastRow="0" w:firstRow="1"/>
      </w:tblPr>
      <w:tblGrid>
        <w:gridCol w:w="1054"/>
        <w:gridCol w:w="1805"/>
        <w:gridCol w:w="6267"/>
      </w:tblGrid>
      <w:tr>
        <w:trPr>
          <w:trHeight w:val="388" w:hRule="atLeast"/>
        </w:trPr>
        <w:tc>
          <w:tcPr>
            <w:tcW w:w="1054" w:type="dxa"/>
            <w:tcBorders/>
            <w:shd w:fill="auto" w:val="clear"/>
          </w:tcPr>
          <w:p>
            <w:pPr>
              <w:pStyle w:val="Normal"/>
              <w:widowControl/>
              <w:bidi w:val="0"/>
              <w:spacing w:before="120" w:after="0"/>
              <w:jc w:val="both"/>
              <w:rPr>
                <w:b/>
                <w:b/>
                <w:bCs/>
              </w:rPr>
            </w:pPr>
            <w:r>
              <w:rPr>
                <w:b/>
                <w:bCs/>
              </w:rPr>
              <w:t>Revision</w:t>
            </w:r>
          </w:p>
        </w:tc>
        <w:tc>
          <w:tcPr>
            <w:tcW w:w="1805" w:type="dxa"/>
            <w:tcBorders/>
            <w:shd w:fill="auto" w:val="clear"/>
          </w:tcPr>
          <w:p>
            <w:pPr>
              <w:pStyle w:val="Normal"/>
              <w:widowControl/>
              <w:bidi w:val="0"/>
              <w:spacing w:before="120" w:after="0"/>
              <w:jc w:val="both"/>
              <w:rPr>
                <w:b/>
                <w:b/>
                <w:bCs/>
              </w:rPr>
            </w:pPr>
            <w:r>
              <w:rPr>
                <w:b/>
                <w:bCs/>
              </w:rPr>
              <w:t>When</w:t>
            </w:r>
          </w:p>
        </w:tc>
        <w:tc>
          <w:tcPr>
            <w:tcW w:w="6267" w:type="dxa"/>
            <w:tcBorders/>
            <w:shd w:fill="auto" w:val="clear"/>
          </w:tcPr>
          <w:p>
            <w:pPr>
              <w:pStyle w:val="Normal"/>
              <w:widowControl/>
              <w:bidi w:val="0"/>
              <w:spacing w:before="120" w:after="0"/>
              <w:jc w:val="both"/>
              <w:rPr>
                <w:b/>
                <w:b/>
                <w:bCs/>
              </w:rPr>
            </w:pPr>
            <w:r>
              <w:rPr>
                <w:b/>
                <w:bCs/>
              </w:rPr>
              <w:t>What changed and why</w:t>
            </w:r>
          </w:p>
        </w:tc>
      </w:tr>
      <w:tr>
        <w:trPr/>
        <w:tc>
          <w:tcPr>
            <w:tcW w:w="1054" w:type="dxa"/>
            <w:tcBorders/>
            <w:shd w:fill="auto" w:val="clear"/>
          </w:tcPr>
          <w:p>
            <w:pPr>
              <w:pStyle w:val="Normal"/>
              <w:widowControl/>
              <w:bidi w:val="0"/>
              <w:spacing w:before="120" w:after="0"/>
              <w:jc w:val="both"/>
              <w:rPr/>
            </w:pPr>
            <w:r>
              <w:rPr/>
              <w:t>1</w:t>
            </w:r>
          </w:p>
        </w:tc>
        <w:tc>
          <w:tcPr>
            <w:tcW w:w="1805" w:type="dxa"/>
            <w:tcBorders/>
            <w:shd w:fill="auto" w:val="clear"/>
          </w:tcPr>
          <w:p>
            <w:pPr>
              <w:pStyle w:val="Normal"/>
              <w:widowControl/>
              <w:bidi w:val="0"/>
              <w:spacing w:before="120" w:after="0"/>
              <w:jc w:val="both"/>
              <w:rPr/>
            </w:pPr>
            <w:r>
              <w:rPr/>
              <w:t>17/12/2019</w:t>
            </w:r>
          </w:p>
        </w:tc>
        <w:tc>
          <w:tcPr>
            <w:tcW w:w="6267" w:type="dxa"/>
            <w:tcBorders/>
            <w:shd w:fill="auto" w:val="clear"/>
          </w:tcPr>
          <w:p>
            <w:pPr>
              <w:pStyle w:val="Normal"/>
              <w:widowControl/>
              <w:bidi w:val="0"/>
              <w:spacing w:before="120" w:after="0"/>
              <w:jc w:val="both"/>
              <w:rPr/>
            </w:pPr>
            <w:r>
              <w:rPr/>
              <w:t>First draft</w:t>
            </w:r>
          </w:p>
        </w:tc>
      </w:tr>
      <w:tr>
        <w:trPr/>
        <w:tc>
          <w:tcPr>
            <w:tcW w:w="1054" w:type="dxa"/>
            <w:tcBorders/>
            <w:shd w:fill="auto" w:val="clear"/>
          </w:tcPr>
          <w:p>
            <w:pPr>
              <w:pStyle w:val="Normal"/>
              <w:widowControl/>
              <w:bidi w:val="0"/>
              <w:spacing w:before="120" w:after="0"/>
              <w:jc w:val="both"/>
              <w:rPr/>
            </w:pPr>
            <w:r>
              <w:rPr/>
              <w:t>2</w:t>
            </w:r>
          </w:p>
        </w:tc>
        <w:tc>
          <w:tcPr>
            <w:tcW w:w="1805" w:type="dxa"/>
            <w:tcBorders/>
            <w:shd w:fill="auto" w:val="clear"/>
          </w:tcPr>
          <w:p>
            <w:pPr>
              <w:pStyle w:val="Normal"/>
              <w:widowControl/>
              <w:bidi w:val="0"/>
              <w:spacing w:before="120" w:after="0"/>
              <w:jc w:val="both"/>
              <w:rPr/>
            </w:pPr>
            <w:r>
              <w:rPr/>
              <w:t>30/03/2020</w:t>
            </w:r>
          </w:p>
        </w:tc>
        <w:tc>
          <w:tcPr>
            <w:tcW w:w="6267" w:type="dxa"/>
            <w:tcBorders/>
            <w:shd w:fill="auto" w:val="clear"/>
          </w:tcPr>
          <w:p>
            <w:pPr>
              <w:pStyle w:val="Normal"/>
              <w:widowControl/>
              <w:bidi w:val="0"/>
              <w:spacing w:before="120" w:after="0"/>
              <w:jc w:val="both"/>
              <w:rPr/>
            </w:pPr>
            <w:r>
              <w:rPr/>
              <w:t>Update on funding status and planning</w:t>
            </w:r>
          </w:p>
        </w:tc>
      </w:tr>
      <w:tr>
        <w:trPr/>
        <w:tc>
          <w:tcPr>
            <w:tcW w:w="1054" w:type="dxa"/>
            <w:tcBorders/>
            <w:shd w:fill="auto" w:val="clear"/>
          </w:tcPr>
          <w:p>
            <w:pPr>
              <w:pStyle w:val="Normal"/>
              <w:widowControl/>
              <w:bidi w:val="0"/>
              <w:spacing w:before="120" w:after="0"/>
              <w:jc w:val="both"/>
              <w:rPr/>
            </w:pPr>
            <w:r>
              <w:rPr/>
              <w:t>3</w:t>
            </w:r>
          </w:p>
        </w:tc>
        <w:tc>
          <w:tcPr>
            <w:tcW w:w="1805" w:type="dxa"/>
            <w:tcBorders/>
            <w:shd w:fill="auto" w:val="clear"/>
          </w:tcPr>
          <w:p>
            <w:pPr>
              <w:pStyle w:val="Normal"/>
              <w:widowControl/>
              <w:bidi w:val="0"/>
              <w:spacing w:before="120" w:after="0"/>
              <w:jc w:val="both"/>
              <w:rPr/>
            </w:pPr>
            <w:r>
              <w:rPr/>
              <w:t>10/01/2021</w:t>
            </w:r>
          </w:p>
        </w:tc>
        <w:tc>
          <w:tcPr>
            <w:tcW w:w="6267" w:type="dxa"/>
            <w:tcBorders/>
            <w:shd w:fill="auto" w:val="clear"/>
          </w:tcPr>
          <w:p>
            <w:pPr>
              <w:pStyle w:val="Normal"/>
              <w:widowControl/>
              <w:bidi w:val="0"/>
              <w:spacing w:before="120" w:after="0"/>
              <w:jc w:val="both"/>
              <w:rPr/>
            </w:pPr>
            <w:r>
              <w:rPr/>
              <w:t>Update</w:t>
            </w:r>
          </w:p>
        </w:tc>
      </w:tr>
    </w:tbl>
    <w:p>
      <w:pPr>
        <w:pStyle w:val="Section"/>
        <w:rPr/>
      </w:pPr>
      <w:r>
        <w:rPr/>
        <w:t>Readme first</w:t>
      </w:r>
    </w:p>
    <w:p>
      <w:pPr>
        <w:pStyle w:val="ListParagraph"/>
        <w:numPr>
          <w:ilvl w:val="0"/>
          <w:numId w:val="2"/>
        </w:numPr>
        <w:ind w:left="567" w:hanging="141"/>
        <w:rPr>
          <w:b/>
          <w:b/>
        </w:rPr>
      </w:pPr>
      <w:bookmarkStart w:id="0" w:name="_Ref353723048"/>
      <w:r>
        <w:rPr/>
        <w:t>Please do not delete or modify this section or its structure.</w:t>
      </w:r>
      <w:bookmarkEnd w:id="0"/>
    </w:p>
    <w:p>
      <w:pPr>
        <w:pStyle w:val="ListParagraph"/>
        <w:numPr>
          <w:ilvl w:val="0"/>
          <w:numId w:val="2"/>
        </w:numPr>
        <w:ind w:left="567" w:hanging="141"/>
        <w:rPr>
          <w:b/>
          <w:b/>
        </w:rPr>
      </w:pPr>
      <w:r>
        <w:rPr/>
        <w:t>Only change text enclosed by (and including) angled brackets “&lt; … &gt;”.</w:t>
      </w:r>
    </w:p>
    <w:p>
      <w:pPr>
        <w:pStyle w:val="ListParagraph"/>
        <w:numPr>
          <w:ilvl w:val="0"/>
          <w:numId w:val="2"/>
        </w:numPr>
        <w:ind w:left="567" w:hanging="141"/>
        <w:rPr/>
      </w:pPr>
      <w:r>
        <w:rPr>
          <w:bCs/>
        </w:rPr>
        <w:t>Don’t change field directly, instead modify the document options, under  File→ Properties (or similar)</w:t>
      </w:r>
    </w:p>
    <w:p>
      <w:pPr>
        <w:pStyle w:val="ListParagraph"/>
        <w:numPr>
          <w:ilvl w:val="1"/>
          <w:numId w:val="2"/>
        </w:numPr>
        <w:rPr>
          <w:bCs/>
        </w:rPr>
      </w:pPr>
      <w:r>
        <w:rPr>
          <w:bCs/>
        </w:rPr>
        <w:t>Enter name of person that wrote the document in Document:Summary: Author</w:t>
      </w:r>
    </w:p>
    <w:p>
      <w:pPr>
        <w:pStyle w:val="ListParagraph"/>
        <w:numPr>
          <w:ilvl w:val="1"/>
          <w:numId w:val="2"/>
        </w:numPr>
        <w:rPr>
          <w:bCs/>
        </w:rPr>
      </w:pPr>
      <w:r>
        <w:rPr>
          <w:bCs/>
        </w:rPr>
        <w:t>The project ID number, should follow the rules provided to you earlier. The number should be changed in Document:Custom: PBS.</w:t>
      </w:r>
    </w:p>
    <w:p>
      <w:pPr>
        <w:pStyle w:val="ListParagraph"/>
        <w:numPr>
          <w:ilvl w:val="1"/>
          <w:numId w:val="2"/>
        </w:numPr>
        <w:rPr>
          <w:bCs/>
        </w:rPr>
      </w:pPr>
      <w:r>
        <w:rPr>
          <w:bCs/>
        </w:rPr>
        <w:t xml:space="preserve">The project name should be changed in Document:Summary: Subject. </w:t>
      </w:r>
    </w:p>
    <w:p>
      <w:pPr>
        <w:pStyle w:val="ListParagraph"/>
        <w:numPr>
          <w:ilvl w:val="0"/>
          <w:numId w:val="2"/>
        </w:numPr>
        <w:ind w:left="567" w:hanging="141"/>
        <w:rPr/>
      </w:pPr>
      <w:r>
        <w:rPr/>
        <w:t xml:space="preserve">In Section </w:t>
      </w:r>
      <w:hyperlink w:anchor="ProjectObjectives">
        <w:r>
          <w:rPr>
            <w:rStyle w:val="InternetLink"/>
            <w:i/>
            <w:iCs/>
          </w:rPr>
          <w:t>Project Objectives</w:t>
        </w:r>
      </w:hyperlink>
      <w:r>
        <w:rPr/>
        <w:t xml:space="preserve"> provide a brief description of the project goals, i.e. why and what is being produced, for PBS item </w:t>
      </w:r>
      <w:r>
        <w:rPr>
          <w:b/>
        </w:rPr>
        <w:fldChar w:fldCharType="begin"/>
      </w:r>
      <w:r>
        <w:rPr>
          <w:b/>
        </w:rPr>
        <w:instrText> DOCPROPERTY "PBS"</w:instrText>
      </w:r>
      <w:r>
        <w:rPr>
          <w:b/>
        </w:rPr>
        <w:fldChar w:fldCharType="separate"/>
      </w:r>
      <w:r>
        <w:rPr>
          <w:b/>
        </w:rPr>
        <w:t>3.3</w:t>
      </w:r>
      <w:r>
        <w:rPr>
          <w:b/>
        </w:rPr>
        <w:fldChar w:fldCharType="end"/>
      </w:r>
      <w:r>
        <w:rPr/>
        <w:t xml:space="preserve"> </w:t>
      </w:r>
      <w:r>
        <w:rPr>
          <w:b/>
        </w:rPr>
        <w:fldChar w:fldCharType="begin"/>
      </w:r>
      <w:r>
        <w:rPr>
          <w:b/>
        </w:rPr>
        <w:instrText> SUBJECT </w:instrText>
      </w:r>
      <w:r>
        <w:rPr>
          <w:b/>
        </w:rPr>
        <w:fldChar w:fldCharType="separate"/>
      </w:r>
      <w:r>
        <w:rPr>
          <w:b/>
        </w:rPr>
        <w:t>Dual-readout Calorimeter</w:t>
      </w:r>
      <w:r>
        <w:rPr>
          <w:b/>
        </w:rPr>
        <w:fldChar w:fldCharType="end"/>
      </w:r>
      <w:r>
        <w:rPr/>
        <w:t xml:space="preserve">. If this project includes identifiable sub-projects you can indicate them in the </w:t>
      </w:r>
      <w:hyperlink w:anchor="SubprojectsDescription">
        <w:r>
          <w:rPr>
            <w:rStyle w:val="InternetLink"/>
            <w:i/>
            <w:iCs/>
          </w:rPr>
          <w:t>Sub-projects Description</w:t>
        </w:r>
      </w:hyperlink>
      <w:r>
        <w:rPr/>
        <w:t xml:space="preserve"> Section, otherwise submit a separate document for each of them. The sub-project IDs are free for you to define.</w:t>
      </w:r>
    </w:p>
    <w:p>
      <w:pPr>
        <w:pStyle w:val="ListParagraph"/>
        <w:numPr>
          <w:ilvl w:val="0"/>
          <w:numId w:val="2"/>
        </w:numPr>
        <w:ind w:left="567" w:hanging="141"/>
        <w:rPr/>
      </w:pPr>
      <w:r>
        <w:rPr/>
        <w:t xml:space="preserve">Finally, remember to update the </w:t>
      </w:r>
      <w:hyperlink w:anchor="ChangeHistory">
        <w:r>
          <w:rPr>
            <w:rStyle w:val="InternetLink"/>
            <w:i/>
          </w:rPr>
          <w:t>Change History</w:t>
        </w:r>
      </w:hyperlink>
      <w:bookmarkStart w:id="1" w:name="CostExplanation"/>
      <w:bookmarkStart w:id="2" w:name="CostType"/>
      <w:bookmarkStart w:id="3" w:name="PBSDictionary"/>
      <w:bookmarkStart w:id="4" w:name="PBSStructure"/>
      <w:bookmarkStart w:id="5" w:name="ReadMeFirst"/>
      <w:bookmarkStart w:id="6" w:name="TotalCost"/>
      <w:bookmarkEnd w:id="1"/>
      <w:bookmarkEnd w:id="2"/>
      <w:bookmarkEnd w:id="3"/>
      <w:bookmarkEnd w:id="4"/>
      <w:bookmarkEnd w:id="5"/>
      <w:bookmarkEnd w:id="6"/>
      <w:r>
        <w:rPr/>
        <w:t>.</w:t>
      </w:r>
      <w:r>
        <w:br w:type="page"/>
      </w:r>
    </w:p>
    <w:p>
      <w:pPr>
        <w:pStyle w:val="Section"/>
        <w:rPr/>
      </w:pPr>
      <w:r>
        <w:rPr/>
        <w:fldChar w:fldCharType="begin"/>
      </w:r>
      <w:r>
        <w:rPr/>
        <w:instrText> DOCPROPERTY "PBS"</w:instrText>
      </w:r>
      <w:r>
        <w:rPr/>
        <w:fldChar w:fldCharType="separate"/>
      </w:r>
      <w:r>
        <w:rPr/>
        <w:t>3.3</w:t>
      </w:r>
      <w:r>
        <w:rPr/>
        <w:fldChar w:fldCharType="end"/>
      </w:r>
      <w:bookmarkStart w:id="7" w:name="CostEstimateType"/>
      <w:r>
        <w:rPr/>
        <w:t xml:space="preserve"> </w:t>
      </w:r>
      <w:r>
        <w:rPr/>
        <w:fldChar w:fldCharType="begin"/>
      </w:r>
      <w:r>
        <w:rPr/>
        <w:instrText> SUBJECT </w:instrText>
      </w:r>
      <w:r>
        <w:rPr/>
        <w:fldChar w:fldCharType="separate"/>
      </w:r>
      <w:r>
        <w:rPr/>
        <w:t>Dual-readout Calorimeter</w:t>
      </w:r>
      <w:r>
        <w:rPr/>
        <w:fldChar w:fldCharType="end"/>
      </w:r>
      <w:r>
        <w:rPr/>
        <w:t xml:space="preserve">: </w:t>
      </w:r>
      <w:bookmarkStart w:id="8" w:name="ProjectObjectives"/>
      <w:r>
        <w:rPr/>
        <w:t>Project Objectives</w:t>
      </w:r>
      <w:bookmarkEnd w:id="8"/>
    </w:p>
    <w:p>
      <w:pPr>
        <w:pStyle w:val="Normal"/>
        <w:rPr/>
      </w:pPr>
      <w:r>
        <w:rPr/>
      </w:r>
      <w:bookmarkStart w:id="9" w:name="SubprojectsDescription1"/>
      <w:bookmarkStart w:id="10" w:name="SubprojectsDescription1"/>
      <w:bookmarkEnd w:id="10"/>
    </w:p>
    <w:p>
      <w:pPr>
        <w:pStyle w:val="Normal"/>
        <w:rPr/>
      </w:pPr>
      <w:r>
        <w:rPr>
          <w:lang w:val="en-US"/>
        </w:rPr>
        <w:t>The 20-year-long experimental research program on dual-readout calorimetry of the DREAM/RD52 collaboration has yielded a technology that is mature for application at CEPC. The results show that the parallel, independent, readout of scintillation and Čerenkov light, makes it possible to cancel the effects of the fluctuations of the electromagnetic fraction in hadronic showers, heavily affecting the energy resolution of the present calorimetry technologies. In conjunction with high-resolution em and hadronic energy measurements, excellent standalone particle-ID capability was demonstrated as well.</w:t>
      </w:r>
    </w:p>
    <w:p>
      <w:pPr>
        <w:pStyle w:val="Normal"/>
        <w:jc w:val="both"/>
        <w:rPr/>
      </w:pPr>
      <w:r>
        <w:rPr>
          <w:lang w:val="en-US"/>
        </w:rPr>
        <w:t>Those results strongly support the conviction that a matrix of alternating scintillating and clear fibres, inserted in copper or lead strips and readout by Silicon PhotoMultipliers (SiPMs), will be able to provide performance more than adequate for the physics program at the CEPC collider. A pointing geometry may allow for unprecedented transverse sampling granularity. Photon pairs could be identified and reconstructed down to a separation of less than 1 cm. Moreover, timing measurements should provide the capability to reconstruct the longitudinal shower development position. A 100 ps time resolution should result in a position resolution of about 5 cm.</w:t>
      </w:r>
    </w:p>
    <w:p>
      <w:pPr>
        <w:pStyle w:val="Normal"/>
        <w:jc w:val="both"/>
        <w:rPr/>
      </w:pPr>
      <w:r>
        <w:rPr>
          <w:lang w:val="en-US"/>
        </w:rPr>
        <w:t xml:space="preserve">The objectives of the R&amp;D projects are relative to </w:t>
      </w:r>
      <w:r>
        <w:rPr>
          <w:lang w:val="en-US"/>
        </w:rPr>
        <w:t xml:space="preserve">five </w:t>
      </w:r>
      <w:r>
        <w:rPr>
          <w:lang w:val="en-US"/>
        </w:rPr>
        <w:t>tasks listed as follows.</w:t>
      </w:r>
    </w:p>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xml:space="preserve">: </w:t>
      </w:r>
      <w:bookmarkStart w:id="11" w:name="SubprojectsDescription"/>
      <w:r>
        <w:rPr/>
        <w:t>Sub-project Description</w:t>
      </w:r>
      <w:bookmarkEnd w:id="11"/>
    </w:p>
    <w:p>
      <w:pPr>
        <w:pStyle w:val="Normal"/>
        <w:rPr/>
      </w:pPr>
      <w:r>
        <w:rPr/>
      </w:r>
    </w:p>
    <w:tbl>
      <w:tblPr>
        <w:tblStyle w:val="TableGrid"/>
        <w:tblW w:w="9359" w:type="dxa"/>
        <w:jc w:val="left"/>
        <w:tblInd w:w="176" w:type="dxa"/>
        <w:tblCellMar>
          <w:top w:w="0" w:type="dxa"/>
          <w:left w:w="108" w:type="dxa"/>
          <w:bottom w:w="0" w:type="dxa"/>
          <w:right w:w="108" w:type="dxa"/>
        </w:tblCellMar>
        <w:tblLook w:noVBand="1" w:val="04a0" w:noHBand="0" w:lastColumn="0" w:firstColumn="1" w:lastRow="0" w:firstRow="1"/>
      </w:tblPr>
      <w:tblGrid>
        <w:gridCol w:w="1168"/>
        <w:gridCol w:w="2788"/>
        <w:gridCol w:w="5403"/>
      </w:tblGrid>
      <w:tr>
        <w:trPr>
          <w:trHeight w:val="388" w:hRule="atLeast"/>
        </w:trPr>
        <w:tc>
          <w:tcPr>
            <w:tcW w:w="1168" w:type="dxa"/>
            <w:tcBorders/>
            <w:shd w:fill="auto" w:val="clear"/>
          </w:tcPr>
          <w:p>
            <w:pPr>
              <w:pStyle w:val="Normal"/>
              <w:spacing w:before="120" w:after="0"/>
              <w:jc w:val="center"/>
              <w:rPr>
                <w:b/>
                <w:b/>
                <w:bCs/>
              </w:rPr>
            </w:pPr>
            <w:r>
              <w:rPr>
                <w:b/>
                <w:bCs/>
              </w:rPr>
              <w:t>Project ID</w:t>
            </w:r>
          </w:p>
        </w:tc>
        <w:tc>
          <w:tcPr>
            <w:tcW w:w="2788" w:type="dxa"/>
            <w:tcBorders/>
            <w:shd w:fill="auto" w:val="clear"/>
          </w:tcPr>
          <w:p>
            <w:pPr>
              <w:pStyle w:val="Normal"/>
              <w:spacing w:before="120" w:after="0"/>
              <w:jc w:val="center"/>
              <w:rPr>
                <w:b/>
                <w:b/>
                <w:bCs/>
              </w:rPr>
            </w:pPr>
            <w:r>
              <w:rPr>
                <w:b/>
                <w:bCs/>
              </w:rPr>
              <w:t>Title</w:t>
            </w:r>
          </w:p>
        </w:tc>
        <w:tc>
          <w:tcPr>
            <w:tcW w:w="5403" w:type="dxa"/>
            <w:tcBorders/>
            <w:shd w:fill="auto" w:val="clear"/>
          </w:tcPr>
          <w:p>
            <w:pPr>
              <w:pStyle w:val="Normal"/>
              <w:spacing w:before="120" w:after="0"/>
              <w:jc w:val="center"/>
              <w:rPr>
                <w:b/>
                <w:b/>
              </w:rPr>
            </w:pPr>
            <w:r>
              <w:rPr>
                <w:b/>
              </w:rPr>
              <w:t>Description</w:t>
            </w:r>
          </w:p>
        </w:tc>
      </w:tr>
      <w:tr>
        <w:trPr/>
        <w:tc>
          <w:tcPr>
            <w:tcW w:w="1168" w:type="dxa"/>
            <w:tcBorders/>
            <w:shd w:fill="auto" w:val="clear"/>
          </w:tcPr>
          <w:p>
            <w:pPr>
              <w:pStyle w:val="Normal"/>
              <w:spacing w:before="120" w:after="0"/>
              <w:jc w:val="center"/>
              <w:rPr/>
            </w:pPr>
            <w:r>
              <w:rPr/>
              <w:t>3.3.1</w:t>
            </w:r>
          </w:p>
        </w:tc>
        <w:tc>
          <w:tcPr>
            <w:tcW w:w="2788" w:type="dxa"/>
            <w:tcBorders/>
            <w:shd w:fill="auto" w:val="clear"/>
          </w:tcPr>
          <w:p>
            <w:pPr>
              <w:pStyle w:val="ListParagraph"/>
              <w:widowControl/>
              <w:numPr>
                <w:ilvl w:val="0"/>
                <w:numId w:val="0"/>
              </w:numPr>
              <w:spacing w:before="40" w:after="40"/>
              <w:ind w:left="426" w:hanging="0"/>
              <w:contextualSpacing/>
              <w:jc w:val="left"/>
              <w:rPr/>
            </w:pPr>
            <w:r>
              <w:rPr/>
              <w:t>Mechanics</w:t>
            </w:r>
          </w:p>
        </w:tc>
        <w:tc>
          <w:tcPr>
            <w:tcW w:w="5403" w:type="dxa"/>
            <w:tcBorders/>
            <w:shd w:fill="auto" w:val="clear"/>
          </w:tcPr>
          <w:p>
            <w:pPr>
              <w:pStyle w:val="Normal"/>
              <w:spacing w:before="40" w:after="40"/>
              <w:ind w:left="1" w:hanging="0"/>
              <w:rPr>
                <w:rFonts w:ascii="Calibri" w:hAnsi="Calibri"/>
              </w:rPr>
            </w:pPr>
            <w:r>
              <w:rPr>
                <w:sz w:val="20"/>
                <w:szCs w:val="22"/>
                <w:lang w:val="en-US"/>
              </w:rPr>
              <w:t>In order to arrive to an executive design and engineering drawings of a realistic detector, the following issues need to be clarified:</w:t>
            </w:r>
          </w:p>
          <w:p>
            <w:pPr>
              <w:pStyle w:val="Normal"/>
              <w:spacing w:before="40" w:after="40"/>
              <w:ind w:hanging="0"/>
              <w:jc w:val="both"/>
              <w:rPr/>
            </w:pPr>
            <w:r>
              <w:rPr>
                <w:sz w:val="20"/>
                <w:szCs w:val="22"/>
                <w:lang w:val="en-US"/>
              </w:rPr>
              <w:t xml:space="preserve"> </w:t>
            </w:r>
            <w:r>
              <w:rPr>
                <w:sz w:val="20"/>
                <w:szCs w:val="22"/>
                <w:lang w:val="en-US"/>
              </w:rPr>
              <w:t>a) dimensions and construction method of the building elements of the absorber structure;</w:t>
            </w:r>
          </w:p>
          <w:p>
            <w:pPr>
              <w:pStyle w:val="Normal"/>
              <w:spacing w:before="40" w:after="40"/>
              <w:ind w:hanging="0"/>
              <w:jc w:val="both"/>
              <w:rPr/>
            </w:pPr>
            <w:r>
              <w:rPr>
                <w:sz w:val="20"/>
                <w:szCs w:val="22"/>
                <w:lang w:val="en-US"/>
              </w:rPr>
              <w:t xml:space="preserve">  </w:t>
            </w:r>
            <w:r>
              <w:rPr>
                <w:sz w:val="20"/>
                <w:szCs w:val="22"/>
                <w:lang w:val="en-US"/>
              </w:rPr>
              <w:t>b) the procedure for the assembly of single towers;</w:t>
            </w:r>
          </w:p>
          <w:p>
            <w:pPr>
              <w:pStyle w:val="Normal"/>
              <w:spacing w:before="40" w:after="40"/>
              <w:ind w:hanging="0"/>
              <w:jc w:val="both"/>
              <w:rPr/>
            </w:pPr>
            <w:r>
              <w:rPr>
                <w:sz w:val="20"/>
                <w:szCs w:val="22"/>
                <w:lang w:val="en-US"/>
              </w:rPr>
              <w:t xml:space="preserve">  </w:t>
            </w:r>
            <w:r>
              <w:rPr>
                <w:sz w:val="20"/>
                <w:szCs w:val="22"/>
                <w:lang w:val="en-US"/>
              </w:rPr>
              <w:t>c) the definition of a sensible breakdown of a full coverage 4π geometry.</w:t>
            </w:r>
          </w:p>
          <w:p>
            <w:pPr>
              <w:pStyle w:val="Normal"/>
              <w:spacing w:before="40" w:after="40"/>
              <w:ind w:hanging="0"/>
              <w:jc w:val="both"/>
              <w:rPr/>
            </w:pPr>
            <w:r>
              <w:rPr>
                <w:sz w:val="20"/>
                <w:szCs w:val="22"/>
                <w:lang w:val="en-US"/>
              </w:rPr>
              <w:t>All depends on the choice of the absorber material, one among brass and iron being, at present, the baseline.</w:t>
            </w:r>
          </w:p>
          <w:p>
            <w:pPr>
              <w:pStyle w:val="Normal"/>
              <w:spacing w:before="40" w:after="40"/>
              <w:ind w:left="1" w:hanging="0"/>
              <w:rPr/>
            </w:pPr>
            <w:r>
              <w:rPr>
                <w:sz w:val="20"/>
                <w:szCs w:val="22"/>
                <w:lang w:val="en-US"/>
              </w:rPr>
              <w:t>The gluing of capillary tubes seems to be a viable solution for the construction of  O(10×10 cm</w:t>
            </w:r>
            <w:r>
              <w:rPr>
                <w:sz w:val="20"/>
                <w:szCs w:val="22"/>
                <w:vertAlign w:val="superscript"/>
                <w:lang w:val="en-US"/>
              </w:rPr>
              <w:t>2</w:t>
            </w:r>
            <w:r>
              <w:rPr>
                <w:sz w:val="20"/>
                <w:szCs w:val="22"/>
                <w:lang w:val="en-US"/>
              </w:rPr>
              <w:t>) modules and an R&amp;D programme in this direction is ongoing, with fundings from INFN, University of Sussex and RBI. A 1 m long single (brass) module will be built, in the next months, to be tested at DESY. A beam period was allocated at the end of 2020 but, following the COVID-19 crisis, the schedule needs to be revised as soon as possible.</w:t>
            </w:r>
          </w:p>
          <w:p>
            <w:pPr>
              <w:pStyle w:val="Normal"/>
              <w:spacing w:before="40" w:after="40"/>
              <w:ind w:left="1" w:hanging="0"/>
              <w:rPr/>
            </w:pPr>
            <w:r>
              <w:rPr>
                <w:sz w:val="20"/>
                <w:szCs w:val="22"/>
                <w:lang w:val="en-US"/>
              </w:rPr>
              <w:t xml:space="preserve">In parallel, a 3-year R&amp;D project will be submitted during next year for the construction of a “hadronic-size” prototype as well as for addressing the issues related to the construction of projective modules (including engineering drawings of a possible 4π detector). </w:t>
            </w:r>
          </w:p>
          <w:p>
            <w:pPr>
              <w:pStyle w:val="Normal"/>
              <w:spacing w:before="40" w:after="40"/>
              <w:ind w:hanging="0"/>
              <w:rPr/>
            </w:pPr>
            <w:r>
              <w:rPr>
                <w:sz w:val="20"/>
                <w:szCs w:val="22"/>
                <w:lang w:val="en-US"/>
              </w:rPr>
              <w:t>In February 2020,  the National Research Foundation of Korea (NRF) granted a 5-year funding of about 2M USD f</w:t>
            </w:r>
            <w:bookmarkStart w:id="12" w:name="__DdeLink__3593_3813264185"/>
            <w:r>
              <w:rPr>
                <w:sz w:val="20"/>
                <w:szCs w:val="22"/>
                <w:lang w:val="en-US"/>
              </w:rPr>
              <w:t>or building a full-scale “hadronic-size” projective prototype..</w:t>
            </w:r>
            <w:bookmarkEnd w:id="12"/>
          </w:p>
        </w:tc>
      </w:tr>
      <w:tr>
        <w:trPr/>
        <w:tc>
          <w:tcPr>
            <w:tcW w:w="1168" w:type="dxa"/>
            <w:tcBorders/>
            <w:shd w:fill="auto" w:val="clear"/>
          </w:tcPr>
          <w:p>
            <w:pPr>
              <w:pStyle w:val="Normal"/>
              <w:spacing w:before="120" w:after="0"/>
              <w:jc w:val="center"/>
              <w:rPr/>
            </w:pPr>
            <w:r>
              <w:rPr/>
              <w:t>3.3.2</w:t>
            </w:r>
          </w:p>
        </w:tc>
        <w:tc>
          <w:tcPr>
            <w:tcW w:w="2788" w:type="dxa"/>
            <w:tcBorders/>
            <w:shd w:fill="auto" w:val="clear"/>
          </w:tcPr>
          <w:p>
            <w:pPr>
              <w:pStyle w:val="ListParagraph"/>
              <w:widowControl/>
              <w:numPr>
                <w:ilvl w:val="0"/>
                <w:numId w:val="0"/>
              </w:numPr>
              <w:spacing w:before="40" w:after="40"/>
              <w:ind w:left="0" w:hanging="0"/>
              <w:contextualSpacing/>
              <w:jc w:val="left"/>
              <w:rPr/>
            </w:pPr>
            <w:r>
              <w:rPr>
                <w:b w:val="false"/>
                <w:bCs w:val="false"/>
                <w:i w:val="false"/>
                <w:iCs w:val="false"/>
                <w:szCs w:val="22"/>
                <w:lang w:val="en-US"/>
              </w:rPr>
              <w:t>Fibres and optical elements</w:t>
            </w:r>
          </w:p>
        </w:tc>
        <w:tc>
          <w:tcPr>
            <w:tcW w:w="5403" w:type="dxa"/>
            <w:tcBorders/>
            <w:shd w:fill="auto" w:val="clear"/>
          </w:tcPr>
          <w:p>
            <w:pPr>
              <w:pStyle w:val="Normal"/>
              <w:spacing w:before="40" w:after="40"/>
              <w:ind w:hanging="0"/>
              <w:jc w:val="both"/>
              <w:rPr/>
            </w:pPr>
            <w:r>
              <w:rPr>
                <w:sz w:val="20"/>
                <w:szCs w:val="22"/>
                <w:lang w:val="en-US"/>
              </w:rPr>
              <w:t>The fibre selection needs to target the proper tuning of light collection yield and attenuation-length properties. Since scintillating and Čerenkov light production processes have yields that differ by orders of magnitude, the transmission chain critically needs to tackle possible optical cross-talk of scintillation in Čerenkov signals. A suitable choice of core material, numerical aperture (i.e. cladding structure) and light filtering, properly matched with the sensor PDE, should allow to obtain a yield of ~100-400 p.e./GeV, with manageable attenuation-length effects. Qualification of fibres, optical coupling and light sensors will be part of the R&amp;D plans.</w:t>
            </w:r>
          </w:p>
        </w:tc>
      </w:tr>
      <w:tr>
        <w:trPr/>
        <w:tc>
          <w:tcPr>
            <w:tcW w:w="1168" w:type="dxa"/>
            <w:tcBorders/>
            <w:shd w:fill="auto" w:val="clear"/>
          </w:tcPr>
          <w:p>
            <w:pPr>
              <w:pStyle w:val="Normal"/>
              <w:spacing w:before="120" w:after="0"/>
              <w:jc w:val="center"/>
              <w:rPr/>
            </w:pPr>
            <w:r>
              <w:rPr/>
              <w:t>3.3.3</w:t>
            </w:r>
          </w:p>
        </w:tc>
        <w:tc>
          <w:tcPr>
            <w:tcW w:w="2788" w:type="dxa"/>
            <w:tcBorders/>
            <w:shd w:fill="auto" w:val="clear"/>
          </w:tcPr>
          <w:p>
            <w:pPr>
              <w:pStyle w:val="ListParagraph"/>
              <w:widowControl/>
              <w:numPr>
                <w:ilvl w:val="0"/>
                <w:numId w:val="0"/>
              </w:numPr>
              <w:spacing w:before="40" w:after="40"/>
              <w:ind w:left="567" w:hanging="141"/>
              <w:contextualSpacing/>
              <w:jc w:val="left"/>
              <w:rPr>
                <w:i w:val="false"/>
                <w:i w:val="false"/>
                <w:iCs w:val="false"/>
              </w:rPr>
            </w:pPr>
            <w:r>
              <w:rPr>
                <w:i w:val="false"/>
                <w:iCs w:val="false"/>
                <w:szCs w:val="22"/>
                <w:lang w:val="en-US"/>
              </w:rPr>
              <w:t>Light sensors and</w:t>
            </w:r>
          </w:p>
          <w:p>
            <w:pPr>
              <w:pStyle w:val="ListParagraph"/>
              <w:widowControl/>
              <w:numPr>
                <w:ilvl w:val="0"/>
                <w:numId w:val="0"/>
              </w:numPr>
              <w:spacing w:before="40" w:after="40"/>
              <w:ind w:left="567" w:hanging="141"/>
              <w:contextualSpacing/>
              <w:jc w:val="left"/>
              <w:rPr/>
            </w:pPr>
            <w:r>
              <w:rPr>
                <w:i w:val="false"/>
                <w:iCs w:val="false"/>
                <w:szCs w:val="22"/>
                <w:lang w:val="en-US"/>
              </w:rPr>
              <w:t>readout electronics</w:t>
            </w:r>
          </w:p>
        </w:tc>
        <w:tc>
          <w:tcPr>
            <w:tcW w:w="5403" w:type="dxa"/>
            <w:tcBorders/>
            <w:shd w:fill="auto" w:val="clear"/>
          </w:tcPr>
          <w:p>
            <w:pPr>
              <w:pStyle w:val="Normal"/>
              <w:spacing w:before="40" w:after="40"/>
              <w:ind w:hanging="0"/>
              <w:jc w:val="both"/>
              <w:rPr/>
            </w:pPr>
            <w:r>
              <w:rPr>
                <w:sz w:val="20"/>
                <w:szCs w:val="22"/>
                <w:lang w:val="en-US"/>
              </w:rPr>
              <w:t>A SiPM-based readout provide several advantages: no fibres sticking out (i.e. no tail oversampling), operation in magnetic field, larger light yield with respect to standard PMTs, very high readout granularity. On the other hand, being digital detectors, SiPMs may show saturation, non-linearity, after pulsing, cross-talk. The R&amp;D program will address these points with a market survey of sensors and front-end ASICs. The large dynamic range (a single fibre collects O(10%) of the em shower signals) requires high-density sensors (small cell size). This is a requirement also in the case that we need to guarantee a linear response. Indeed, to reduce the huge number of readout elements, the analog grouping of sensor outputs will be exploited, making impossible to apply non-linearity corrections.</w:t>
            </w:r>
          </w:p>
          <w:p>
            <w:pPr>
              <w:pStyle w:val="Normal"/>
              <w:spacing w:before="40" w:after="40"/>
              <w:ind w:hanging="0"/>
              <w:jc w:val="both"/>
              <w:rPr/>
            </w:pPr>
            <w:r>
              <w:rPr>
                <w:sz w:val="20"/>
                <w:szCs w:val="22"/>
                <w:lang w:val="en-US"/>
              </w:rPr>
              <w:t>A readout chain based on modular (innovative) elements will be tested with specific efforts for the assessment and optimisation of the timing performance. The possibility of using a sampling ASIC is also being considered. In this context, the collaboration with CAEN and, as far as possible, with other producers, will be carried on. Hamamatsu SiPMs, with 15 μm cell pitch, and the CAEN DT5550W readout system, based on the Citiroc1A ASIC, are the baseline choices for the 2020 prototype.</w:t>
            </w:r>
          </w:p>
        </w:tc>
      </w:tr>
      <w:tr>
        <w:trPr/>
        <w:tc>
          <w:tcPr>
            <w:tcW w:w="1168" w:type="dxa"/>
            <w:tcBorders>
              <w:top w:val="nil"/>
            </w:tcBorders>
            <w:shd w:fill="auto" w:val="clear"/>
          </w:tcPr>
          <w:p>
            <w:pPr>
              <w:pStyle w:val="Normal"/>
              <w:spacing w:before="120" w:after="0"/>
              <w:jc w:val="center"/>
              <w:rPr/>
            </w:pPr>
            <w:r>
              <w:rPr/>
              <w:t>3.3.</w:t>
            </w:r>
            <w:r>
              <w:rPr/>
              <w:t>4</w:t>
            </w:r>
          </w:p>
        </w:tc>
        <w:tc>
          <w:tcPr>
            <w:tcW w:w="2788" w:type="dxa"/>
            <w:tcBorders>
              <w:top w:val="nil"/>
            </w:tcBorders>
            <w:shd w:fill="auto" w:val="clear"/>
          </w:tcPr>
          <w:p>
            <w:pPr>
              <w:pStyle w:val="ListParagraph"/>
              <w:widowControl/>
              <w:numPr>
                <w:ilvl w:val="0"/>
                <w:numId w:val="0"/>
              </w:numPr>
              <w:spacing w:before="40" w:after="40"/>
              <w:ind w:left="360" w:hanging="0"/>
              <w:contextualSpacing/>
              <w:jc w:val="left"/>
              <w:rPr>
                <w:i w:val="false"/>
                <w:i w:val="false"/>
                <w:iCs w:val="false"/>
              </w:rPr>
            </w:pPr>
            <w:r>
              <w:rPr>
                <w:i w:val="false"/>
                <w:iCs w:val="false"/>
                <w:sz w:val="24"/>
                <w:szCs w:val="24"/>
                <w:lang w:val="en-US"/>
              </w:rPr>
              <w:t>Simulations and detector performance</w:t>
            </w:r>
          </w:p>
        </w:tc>
        <w:tc>
          <w:tcPr>
            <w:tcW w:w="5403" w:type="dxa"/>
            <w:tcBorders>
              <w:top w:val="nil"/>
            </w:tcBorders>
            <w:shd w:fill="auto" w:val="clear"/>
          </w:tcPr>
          <w:p>
            <w:pPr>
              <w:pStyle w:val="Normal"/>
              <w:spacing w:before="40" w:after="40"/>
              <w:ind w:hanging="0"/>
              <w:jc w:val="both"/>
              <w:rPr/>
            </w:pPr>
            <w:r>
              <w:rPr>
                <w:sz w:val="20"/>
                <w:szCs w:val="22"/>
                <w:lang w:val="en-US"/>
              </w:rPr>
              <w:t>A complex (Geant4) simulation programme is being pursued in order to assess both the standalone and the combined performance of dual-readout calorimeter implementations. Square (testbeam) modules, according to real and possible prototypes, have been and will be simulated for comparison with data. At the same time, simulations of a 4π detector will be carried on in order to estimate at best the possible performance in a real experiment concerning:</w:t>
            </w:r>
          </w:p>
          <w:p>
            <w:pPr>
              <w:pStyle w:val="Normal"/>
              <w:spacing w:before="40" w:after="40"/>
              <w:ind w:hanging="0"/>
              <w:jc w:val="both"/>
              <w:rPr/>
            </w:pPr>
            <w:r>
              <w:rPr>
                <w:sz w:val="20"/>
                <w:szCs w:val="22"/>
                <w:lang w:val="en-US"/>
              </w:rPr>
              <w:t>1. Energy resolution for electrons, gammas, single hadrons and hadronic jets both standalone and with a preshower detector;</w:t>
            </w:r>
          </w:p>
          <w:p>
            <w:pPr>
              <w:pStyle w:val="Normal"/>
              <w:spacing w:before="40" w:after="40"/>
              <w:ind w:hanging="0"/>
              <w:jc w:val="both"/>
              <w:rPr/>
            </w:pPr>
            <w:r>
              <w:rPr>
                <w:sz w:val="20"/>
                <w:szCs w:val="22"/>
                <w:lang w:val="en-US"/>
              </w:rPr>
              <w:t>2. Angular and position resolution, in particular for the identification and separation of the two photon showers from π</w:t>
            </w:r>
            <w:r>
              <w:rPr>
                <w:sz w:val="20"/>
                <w:szCs w:val="22"/>
                <w:vertAlign w:val="superscript"/>
                <w:lang w:val="en-US"/>
              </w:rPr>
              <w:t>0</w:t>
            </w:r>
            <w:r>
              <w:rPr>
                <w:sz w:val="20"/>
                <w:szCs w:val="22"/>
                <w:lang w:val="en-US"/>
              </w:rPr>
              <w:t xml:space="preserve"> decays;</w:t>
            </w:r>
          </w:p>
          <w:p>
            <w:pPr>
              <w:pStyle w:val="Normal"/>
              <w:spacing w:before="40" w:after="40"/>
              <w:ind w:hanging="0"/>
              <w:jc w:val="both"/>
              <w:rPr/>
            </w:pPr>
            <w:r>
              <w:rPr>
                <w:sz w:val="20"/>
                <w:szCs w:val="22"/>
                <w:lang w:val="en-US"/>
              </w:rPr>
              <w:t>3. Reconstruction of the longitudinal shower development position through timing measurements;</w:t>
            </w:r>
          </w:p>
          <w:p>
            <w:pPr>
              <w:pStyle w:val="Normal"/>
              <w:spacing w:before="40" w:after="40"/>
              <w:ind w:hanging="0"/>
              <w:jc w:val="both"/>
              <w:rPr/>
            </w:pPr>
            <w:r>
              <w:rPr>
                <w:sz w:val="20"/>
                <w:szCs w:val="22"/>
                <w:lang w:val="en-US"/>
              </w:rPr>
              <w:t>4. Particle identification of single e, π, μ, γ, both isolated and within jets;</w:t>
            </w:r>
          </w:p>
          <w:p>
            <w:pPr>
              <w:pStyle w:val="Normal"/>
              <w:spacing w:before="40" w:after="40"/>
              <w:ind w:hanging="0"/>
              <w:jc w:val="both"/>
              <w:rPr/>
            </w:pPr>
            <w:r>
              <w:rPr>
                <w:sz w:val="20"/>
                <w:szCs w:val="22"/>
                <w:lang w:val="en-US"/>
              </w:rPr>
              <w:t>5. Identification and reconstruction of final states from hadronic τ-decays;</w:t>
            </w:r>
          </w:p>
          <w:p>
            <w:pPr>
              <w:pStyle w:val="Normal"/>
              <w:spacing w:before="40" w:after="40"/>
              <w:ind w:hanging="0"/>
              <w:jc w:val="both"/>
              <w:rPr/>
            </w:pPr>
            <w:r>
              <w:rPr>
                <w:sz w:val="20"/>
                <w:szCs w:val="22"/>
                <w:lang w:val="en-US"/>
              </w:rPr>
              <w:t>6. Identification and reconstruction of final states from  Z/W/H→jj, H→ZZ*/WW*→4j, H→γγ, Z/H→ττ decays.</w:t>
            </w:r>
          </w:p>
        </w:tc>
      </w:tr>
      <w:tr>
        <w:trPr/>
        <w:tc>
          <w:tcPr>
            <w:tcW w:w="1168" w:type="dxa"/>
            <w:tcBorders>
              <w:top w:val="nil"/>
            </w:tcBorders>
            <w:shd w:fill="auto" w:val="clear"/>
          </w:tcPr>
          <w:p>
            <w:pPr>
              <w:pStyle w:val="Normal"/>
              <w:spacing w:before="120" w:after="0"/>
              <w:jc w:val="center"/>
              <w:rPr/>
            </w:pPr>
            <w:r>
              <w:rPr/>
              <w:t>3.3.</w:t>
            </w:r>
            <w:r>
              <w:rPr/>
              <w:t>5</w:t>
            </w:r>
          </w:p>
        </w:tc>
        <w:tc>
          <w:tcPr>
            <w:tcW w:w="2788" w:type="dxa"/>
            <w:tcBorders>
              <w:top w:val="nil"/>
            </w:tcBorders>
            <w:shd w:fill="auto" w:val="clear"/>
          </w:tcPr>
          <w:p>
            <w:pPr>
              <w:pStyle w:val="ListParagraph"/>
              <w:widowControl/>
              <w:numPr>
                <w:ilvl w:val="0"/>
                <w:numId w:val="0"/>
              </w:numPr>
              <w:spacing w:before="40" w:after="40"/>
              <w:ind w:left="360" w:hanging="0"/>
              <w:contextualSpacing/>
              <w:jc w:val="left"/>
              <w:rPr/>
            </w:pPr>
            <w:r>
              <w:rPr/>
              <w:t>Data selection and processing with deep-learning algorithms</w:t>
            </w:r>
          </w:p>
        </w:tc>
        <w:tc>
          <w:tcPr>
            <w:tcW w:w="5403" w:type="dxa"/>
            <w:tcBorders>
              <w:top w:val="nil"/>
            </w:tcBorders>
            <w:shd w:fill="auto" w:val="clear"/>
          </w:tcPr>
          <w:p>
            <w:pPr>
              <w:pStyle w:val="Normal"/>
              <w:spacing w:before="40" w:after="40"/>
              <w:ind w:hanging="0"/>
              <w:jc w:val="both"/>
              <w:rPr/>
            </w:pPr>
            <w:r>
              <w:rPr>
                <w:sz w:val="20"/>
                <w:szCs w:val="20"/>
              </w:rPr>
              <w:t>Development of deep-learning algorithms (over convolutional neural networks) exploiting timing information, for online and offline data selection and processing. The performance assessment will concern the same final states as in task 3.3.4.</w:t>
            </w:r>
          </w:p>
        </w:tc>
      </w:tr>
    </w:tbl>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CEPC Relationship</w:t>
      </w:r>
    </w:p>
    <w:p>
      <w:pPr>
        <w:pStyle w:val="Normal"/>
        <w:rPr/>
      </w:pPr>
      <w:r>
        <w:rPr/>
      </w:r>
    </w:p>
    <w:p>
      <w:pPr>
        <w:pStyle w:val="Normal"/>
        <w:rPr/>
      </w:pPr>
      <w:r>
        <w:rPr/>
        <w:t>This R&amp;D on dual-readout calorimetry is an integral part of the program for the calorimeter system of the IDEA detector concept. IDEA is included in the CDRs of both high-energy circular e</w:t>
      </w:r>
      <w:r>
        <w:rPr>
          <w:vertAlign w:val="superscript"/>
        </w:rPr>
        <w:t>+</w:t>
      </w:r>
      <w:r>
        <w:rPr/>
        <w:t>e</w:t>
      </w:r>
      <w:r>
        <w:rPr>
          <w:vertAlign w:val="superscript"/>
        </w:rPr>
        <w:t>-</w:t>
      </w:r>
      <w:r>
        <w:rPr/>
        <w:t xml:space="preserve"> colliders presently under discussion: CEPC in China and FCC-ee at CERN. The R&amp;D is the same for both colliders. </w:t>
      </w:r>
    </w:p>
    <w:p>
      <w:pPr>
        <w:pStyle w:val="Normal"/>
        <w:rPr/>
      </w:pPr>
      <w:r>
        <w:rPr/>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Project Schedule</w:t>
      </w:r>
    </w:p>
    <w:p>
      <w:pPr>
        <w:pStyle w:val="Normal"/>
        <w:rPr/>
      </w:pPr>
      <w:r>
        <w:rPr/>
      </w:r>
    </w:p>
    <w:p>
      <w:pPr>
        <w:pStyle w:val="Normal"/>
        <w:rPr/>
      </w:pPr>
      <w:r>
        <w:rPr/>
        <w:t>In the present planning for the fibre-sampling calorimetry, all the tasks are meant to be completed by 2025. The prototype under preparation is presently planned to be tested at DESY in the next month. Nevertheless, due to the COVID-19 emergency, no solid statement on the dates can be done. The test beam period is expected to be postponed (probably to summer or autumn 2021). Further planning, including the schedule for the hadronic-size prototype, will need to be reassessed as  soon as possible. At present, the delay is meant to be of the order of months. On the other hand, the schedule strongly depends on the amount of funding and resources that will be secured.</w:t>
      </w:r>
    </w:p>
    <w:p>
      <w:pPr>
        <w:pStyle w:val="Section"/>
        <w:rPr/>
      </w:pPr>
      <w:r>
        <w:rPr/>
        <w:fldChar w:fldCharType="begin"/>
      </w:r>
      <w:r>
        <w:rPr/>
        <w:instrText> DOCPROPERTY "PBS"</w:instrText>
      </w:r>
      <w:r>
        <w:rPr/>
        <w:fldChar w:fldCharType="separate"/>
      </w:r>
      <w:r>
        <w:rPr/>
        <w:t>3.3</w:t>
      </w:r>
      <w:r>
        <w:rPr/>
        <w:fldChar w:fldCharType="end"/>
      </w:r>
      <w:r>
        <w:rPr/>
        <w:t xml:space="preserve"> </w:t>
      </w:r>
      <w:r>
        <w:rPr/>
        <w:fldChar w:fldCharType="begin"/>
      </w:r>
      <w:r>
        <w:rPr/>
        <w:instrText> SUBJECT </w:instrText>
      </w:r>
      <w:r>
        <w:rPr/>
        <w:fldChar w:fldCharType="separate"/>
      </w:r>
      <w:r>
        <w:rPr/>
        <w:t>Dual-readout Calorimeter</w:t>
      </w:r>
      <w:r>
        <w:rPr/>
        <w:fldChar w:fldCharType="end"/>
      </w:r>
      <w:r>
        <w:rPr/>
        <w:t>: Funding Availability</w:t>
      </w:r>
    </w:p>
    <w:p>
      <w:pPr>
        <w:pStyle w:val="Normal"/>
        <w:rPr/>
      </w:pPr>
      <w:r>
        <w:rPr/>
      </w:r>
    </w:p>
    <w:p>
      <w:pPr>
        <w:pStyle w:val="Normal"/>
        <w:spacing w:before="120" w:after="120"/>
        <w:rPr/>
      </w:pPr>
      <w:r>
        <w:rPr/>
        <w:t>The first stage of the project (the 2020 prototype) has received funding from INFN CSN1 (~40 k</w:t>
      </w:r>
      <w:r>
        <w:rPr>
          <w:rFonts w:eastAsia="Calibri" w:cs="Calibri"/>
        </w:rPr>
        <w:t>€</w:t>
      </w:r>
      <w:r>
        <w:rPr/>
        <w:t>), from RBI (about 15 k</w:t>
      </w:r>
      <w:r>
        <w:rPr>
          <w:rFonts w:eastAsia="Calibri" w:cs="Calibri"/>
        </w:rPr>
        <w:t>€</w:t>
      </w:r>
      <w:r>
        <w:rPr/>
        <w:t>) and from the University of Sussex (about 5 k</w:t>
      </w:r>
      <w:r>
        <w:rPr>
          <w:rFonts w:eastAsia="Calibri" w:cs="Calibri"/>
        </w:rPr>
        <w:t>€</w:t>
      </w:r>
      <w:r>
        <w:rPr/>
        <w:t xml:space="preserve">). RBI has retired in late 2020 from the collaboration due to lack of manpower </w:t>
      </w:r>
      <w:r>
        <w:rPr/>
        <w:t>and funds</w:t>
      </w:r>
      <w:r>
        <w:rPr/>
        <w:t>. Small amount of funding from University grants has also been made available.</w:t>
      </w:r>
    </w:p>
    <w:p>
      <w:pPr>
        <w:pStyle w:val="Normal"/>
        <w:spacing w:before="120" w:after="120"/>
        <w:rPr/>
      </w:pPr>
      <w:r>
        <w:rPr/>
        <w:t>A request of about 100 k</w:t>
      </w:r>
      <w:r>
        <w:rPr>
          <w:rFonts w:eastAsia="Calibri" w:cs="Calibri"/>
        </w:rPr>
        <w:t>€</w:t>
      </w:r>
      <w:r>
        <w:rPr/>
        <w:t xml:space="preserve"> has been also presented for the AIDA++ proposal, mainly thought to be used for hiring young manpower.</w:t>
      </w:r>
    </w:p>
    <w:p>
      <w:pPr>
        <w:pStyle w:val="Normal"/>
        <w:spacing w:before="120" w:after="120"/>
        <w:rPr/>
      </w:pPr>
      <w:r>
        <w:rPr/>
        <w:t>About the building of a hadronic-size prototype, a request will be submitted for EU grants and to European funding agencies in 2021 (INFN, Royal Society).</w:t>
      </w:r>
    </w:p>
    <w:p>
      <w:pPr>
        <w:pStyle w:val="Normal"/>
        <w:spacing w:before="120" w:after="120"/>
        <w:rPr/>
      </w:pPr>
      <w:r>
        <w:rPr>
          <w:color w:val="000000"/>
        </w:rPr>
        <w:t>In South Korea, a R&amp;D fund of about 2M USD has been granted, from March 2020 over 5 years, by the Korea National Research Foundation (NRF) for building a full-hadronic-scale projective prototype, addressing the main engineering, operating and readout issues. Additional soft funding is also available for simulation study to support postdoc positions and graduate students in each institute.</w:t>
      </w:r>
    </w:p>
    <w:p>
      <w:pPr>
        <w:pStyle w:val="Section"/>
        <w:rPr/>
      </w:pPr>
      <w:r>
        <w:rPr/>
      </w:r>
    </w:p>
    <w:p>
      <w:pPr>
        <w:pStyle w:val="Section"/>
        <w:rPr>
          <w:color w:val="4F81BD"/>
        </w:rPr>
      </w:pPr>
      <w:r>
        <w:rPr>
          <w:color w:val="4F81BD"/>
        </w:rPr>
        <w:fldChar w:fldCharType="begin"/>
      </w:r>
      <w:r>
        <w:rPr/>
        <w:instrText> DOCPROPERTY "PBS"</w:instrText>
      </w:r>
      <w:r>
        <w:rPr/>
        <w:fldChar w:fldCharType="separate"/>
      </w:r>
      <w:r>
        <w:rPr/>
        <w:t>3.3</w:t>
      </w:r>
      <w:r>
        <w:rPr/>
        <w:fldChar w:fldCharType="end"/>
      </w:r>
      <w:r>
        <w:rPr>
          <w:color w:val="4F81BD"/>
        </w:rPr>
        <w:t xml:space="preserve"> </w:t>
      </w:r>
      <w:r>
        <w:rPr>
          <w:color w:val="4F81BD"/>
        </w:rPr>
        <w:fldChar w:fldCharType="begin"/>
      </w:r>
      <w:r>
        <w:rPr/>
        <w:instrText> SUBJECT </w:instrText>
      </w:r>
      <w:r>
        <w:rPr/>
        <w:fldChar w:fldCharType="separate"/>
      </w:r>
      <w:r>
        <w:rPr/>
        <w:t>Dual-readout Calorimeter</w:t>
      </w:r>
      <w:r>
        <w:rPr/>
        <w:fldChar w:fldCharType="end"/>
      </w:r>
      <w:r>
        <w:rPr>
          <w:color w:val="4F81BD"/>
        </w:rPr>
        <w:t>: Leadership Arrangement</w:t>
      </w:r>
    </w:p>
    <w:p>
      <w:pPr>
        <w:pStyle w:val="Normal"/>
        <w:rPr/>
      </w:pPr>
      <w:r>
        <w:rPr/>
      </w:r>
    </w:p>
    <w:p>
      <w:pPr>
        <w:pStyle w:val="Normal"/>
        <w:rPr/>
      </w:pPr>
      <w:r>
        <w:rPr/>
        <w:t>Project leader:</w:t>
        <w:tab/>
        <w:tab/>
        <w:tab/>
        <w:t>Roberto Ferrari</w:t>
        <w:tab/>
        <w:t>INFN Pavia</w:t>
      </w:r>
    </w:p>
    <w:p>
      <w:pPr>
        <w:pStyle w:val="Normal"/>
        <w:rPr/>
      </w:pPr>
      <w:r>
        <w:rPr/>
        <w:t>Technical coordinator:</w:t>
        <w:tab/>
        <w:t>Romualdo Santoro</w:t>
        <w:tab/>
        <w:t>Università dell’Insubria Como and INFN Milano</w:t>
      </w:r>
    </w:p>
    <w:p>
      <w:pPr>
        <w:pStyle w:val="Normal"/>
        <w:rPr/>
      </w:pPr>
      <w:r>
        <w:rPr/>
      </w:r>
    </w:p>
    <w:p>
      <w:pPr>
        <w:pStyle w:val="Normal"/>
        <w:rPr/>
      </w:pPr>
      <w:r>
        <w:rPr/>
        <w:t>Group leaders/contacts:</w:t>
      </w:r>
    </w:p>
    <w:p>
      <w:pPr>
        <w:pStyle w:val="Normal"/>
        <w:rPr/>
      </w:pPr>
      <w:r>
        <w:rPr/>
        <w:t>Hwidong Yoo</w:t>
        <w:tab/>
        <w:tab/>
        <w:t xml:space="preserve">South Korea Consortium (Kyungpook National University, Korea University, </w:t>
        <w:tab/>
        <w:tab/>
        <w:tab/>
        <w:t>University of Seoul, Yonsei University, includes also Iowa State University)</w:t>
      </w:r>
    </w:p>
    <w:p>
      <w:pPr>
        <w:pStyle w:val="Normal"/>
        <w:rPr/>
      </w:pPr>
      <w:r>
        <w:rPr/>
        <w:t>Romualdo Santoro</w:t>
        <w:tab/>
        <w:t>Università dell’Insubria Como and INFN Milano</w:t>
      </w:r>
    </w:p>
    <w:p>
      <w:pPr>
        <w:pStyle w:val="Normal"/>
        <w:rPr/>
      </w:pPr>
      <w:r>
        <w:rPr/>
        <w:t>Gabriella Gaudio</w:t>
        <w:tab/>
        <w:t>INFN Pavia</w:t>
      </w:r>
    </w:p>
    <w:p>
      <w:pPr>
        <w:pStyle w:val="Normal"/>
        <w:rPr/>
      </w:pPr>
      <w:r>
        <w:rPr/>
        <w:t>Franco Bedeschi</w:t>
        <w:tab/>
        <w:t>INFN Pisa</w:t>
      </w:r>
    </w:p>
    <w:p>
      <w:pPr>
        <w:pStyle w:val="Normal"/>
        <w:rPr/>
      </w:pPr>
      <w:r>
        <w:rPr/>
        <w:t>Stefano Giagu</w:t>
        <w:tab/>
        <w:tab/>
        <w:t>Università di Roma “La Sapienza” and INFN Roma 1</w:t>
      </w:r>
    </w:p>
    <w:p>
      <w:pPr>
        <w:pStyle w:val="Normal"/>
        <w:rPr/>
      </w:pPr>
      <w:r>
        <w:rPr/>
        <w:t>Paolo Giacomelli</w:t>
        <w:tab/>
        <w:t>INFN Bologna</w:t>
      </w:r>
    </w:p>
    <w:p>
      <w:pPr>
        <w:pStyle w:val="Normal"/>
        <w:rPr/>
      </w:pPr>
      <w:r>
        <w:rPr/>
        <w:t>Iacopo Vivarelli</w:t>
        <w:tab/>
        <w:t>University of Sussex</w:t>
      </w:r>
    </w:p>
    <w:p>
      <w:pPr>
        <w:pStyle w:val="Normal"/>
        <w:rPr/>
      </w:pPr>
      <w:r>
        <w:rPr/>
      </w:r>
    </w:p>
    <w:p>
      <w:pPr>
        <w:pStyle w:val="Section"/>
        <w:rPr>
          <w:color w:val="4F81BD"/>
        </w:rPr>
      </w:pPr>
      <w:r>
        <w:rPr>
          <w:color w:val="4F81BD"/>
        </w:rPr>
        <w:fldChar w:fldCharType="begin"/>
      </w:r>
      <w:r>
        <w:rPr/>
        <w:instrText> DOCPROPERTY "PBS"</w:instrText>
      </w:r>
      <w:r>
        <w:rPr/>
        <w:fldChar w:fldCharType="separate"/>
      </w:r>
      <w:r>
        <w:rPr/>
        <w:t>3.3</w:t>
      </w:r>
      <w:r>
        <w:rPr/>
        <w:fldChar w:fldCharType="end"/>
      </w:r>
      <w:r>
        <w:rPr>
          <w:color w:val="4F81BD"/>
        </w:rPr>
        <w:t xml:space="preserve"> </w:t>
      </w:r>
      <w:r>
        <w:rPr>
          <w:color w:val="4F81BD"/>
        </w:rPr>
        <w:fldChar w:fldCharType="begin"/>
      </w:r>
      <w:r>
        <w:rPr/>
        <w:instrText> SUBJECT </w:instrText>
      </w:r>
      <w:r>
        <w:rPr/>
        <w:fldChar w:fldCharType="separate"/>
      </w:r>
      <w:r>
        <w:rPr/>
        <w:t>Dual-readout Calorimeter</w:t>
      </w:r>
      <w:r>
        <w:rPr/>
        <w:fldChar w:fldCharType="end"/>
      </w:r>
      <w:r>
        <w:rPr>
          <w:color w:val="4F81BD"/>
        </w:rPr>
        <w:t xml:space="preserve">: </w:t>
      </w:r>
      <w:bookmarkEnd w:id="7"/>
      <w:r>
        <w:rPr>
          <w:color w:val="4F81BD"/>
        </w:rPr>
        <w:t>Manpower Resources</w:t>
      </w:r>
    </w:p>
    <w:p>
      <w:pPr>
        <w:pStyle w:val="Normal"/>
        <w:spacing w:before="40" w:after="40"/>
        <w:ind w:hanging="0"/>
        <w:jc w:val="both"/>
        <w:rPr>
          <w:b/>
          <w:b/>
        </w:rPr>
      </w:pPr>
      <w:r>
        <w:rPr>
          <w:b/>
        </w:rPr>
      </w:r>
    </w:p>
    <w:tbl>
      <w:tblPr>
        <w:tblStyle w:val="TableGrid"/>
        <w:tblW w:w="4599" w:type="dxa"/>
        <w:jc w:val="left"/>
        <w:tblInd w:w="2511" w:type="dxa"/>
        <w:tblCellMar>
          <w:top w:w="0" w:type="dxa"/>
          <w:left w:w="108" w:type="dxa"/>
          <w:bottom w:w="0" w:type="dxa"/>
          <w:right w:w="108" w:type="dxa"/>
        </w:tblCellMar>
        <w:tblLook w:noVBand="1" w:val="04a0" w:noHBand="0" w:lastColumn="0" w:firstColumn="1" w:lastRow="0" w:firstRow="1"/>
      </w:tblPr>
      <w:tblGrid>
        <w:gridCol w:w="1776"/>
        <w:gridCol w:w="2822"/>
      </w:tblGrid>
      <w:tr>
        <w:trPr/>
        <w:tc>
          <w:tcPr>
            <w:tcW w:w="1776" w:type="dxa"/>
            <w:tcBorders/>
            <w:shd w:fill="auto" w:val="clear"/>
          </w:tcPr>
          <w:p>
            <w:pPr>
              <w:pStyle w:val="Normal"/>
              <w:spacing w:before="120" w:after="0"/>
              <w:jc w:val="center"/>
              <w:rPr>
                <w:b/>
                <w:b/>
                <w:bCs/>
              </w:rPr>
            </w:pPr>
            <w:r>
              <w:rPr>
                <w:b/>
                <w:bCs/>
              </w:rPr>
              <w:t>Type</w:t>
            </w:r>
          </w:p>
        </w:tc>
        <w:tc>
          <w:tcPr>
            <w:tcW w:w="2822" w:type="dxa"/>
            <w:tcBorders/>
            <w:shd w:fill="auto" w:val="clear"/>
          </w:tcPr>
          <w:p>
            <w:pPr>
              <w:pStyle w:val="Normal"/>
              <w:spacing w:before="120" w:after="0"/>
              <w:jc w:val="center"/>
              <w:rPr>
                <w:b/>
                <w:b/>
                <w:bCs/>
              </w:rPr>
            </w:pPr>
            <w:r>
              <w:rPr>
                <w:b/>
                <w:bCs/>
              </w:rPr>
              <w:t>Average FTE Expected</w:t>
            </w:r>
          </w:p>
        </w:tc>
      </w:tr>
      <w:tr>
        <w:trPr/>
        <w:tc>
          <w:tcPr>
            <w:tcW w:w="1776" w:type="dxa"/>
            <w:tcBorders/>
            <w:shd w:fill="auto" w:val="clear"/>
            <w:vAlign w:val="bottom"/>
          </w:tcPr>
          <w:p>
            <w:pPr>
              <w:pStyle w:val="AssumptionID"/>
              <w:numPr>
                <w:ilvl w:val="0"/>
                <w:numId w:val="0"/>
              </w:numPr>
              <w:spacing w:before="120" w:after="0"/>
              <w:rPr/>
            </w:pPr>
            <w:r>
              <w:rPr/>
              <w:t>Faculty</w:t>
            </w:r>
          </w:p>
        </w:tc>
        <w:tc>
          <w:tcPr>
            <w:tcW w:w="2822" w:type="dxa"/>
            <w:tcBorders/>
            <w:shd w:fill="auto" w:val="clear"/>
          </w:tcPr>
          <w:p>
            <w:pPr>
              <w:pStyle w:val="Normal"/>
              <w:spacing w:before="120" w:after="0"/>
              <w:jc w:val="center"/>
              <w:rPr/>
            </w:pPr>
            <w:r>
              <w:rPr/>
              <w:t>4.2</w:t>
            </w:r>
          </w:p>
        </w:tc>
      </w:tr>
      <w:tr>
        <w:trPr/>
        <w:tc>
          <w:tcPr>
            <w:tcW w:w="1776" w:type="dxa"/>
            <w:tcBorders/>
            <w:shd w:fill="auto" w:val="clear"/>
          </w:tcPr>
          <w:p>
            <w:pPr>
              <w:pStyle w:val="AssumptionID"/>
              <w:numPr>
                <w:ilvl w:val="0"/>
                <w:numId w:val="0"/>
              </w:numPr>
              <w:spacing w:before="120" w:after="0"/>
              <w:rPr/>
            </w:pPr>
            <w:r>
              <w:rPr/>
              <w:t>Postdoc</w:t>
            </w:r>
          </w:p>
        </w:tc>
        <w:tc>
          <w:tcPr>
            <w:tcW w:w="2822" w:type="dxa"/>
            <w:tcBorders/>
            <w:shd w:fill="auto" w:val="clear"/>
          </w:tcPr>
          <w:p>
            <w:pPr>
              <w:pStyle w:val="Normal"/>
              <w:spacing w:before="120" w:after="0"/>
              <w:jc w:val="center"/>
              <w:rPr/>
            </w:pPr>
            <w:r>
              <w:rPr/>
              <w:t>2.2</w:t>
            </w:r>
            <w:r>
              <w:rPr>
                <w:vertAlign w:val="superscript"/>
              </w:rPr>
              <w:t>1</w:t>
            </w:r>
          </w:p>
        </w:tc>
      </w:tr>
      <w:tr>
        <w:trPr/>
        <w:tc>
          <w:tcPr>
            <w:tcW w:w="1776" w:type="dxa"/>
            <w:tcBorders/>
            <w:shd w:fill="auto" w:val="clear"/>
          </w:tcPr>
          <w:p>
            <w:pPr>
              <w:pStyle w:val="AssumptionID"/>
              <w:numPr>
                <w:ilvl w:val="0"/>
                <w:numId w:val="0"/>
              </w:numPr>
              <w:spacing w:before="120" w:after="0"/>
              <w:rPr/>
            </w:pPr>
            <w:r>
              <w:rPr/>
              <w:t>Students</w:t>
            </w:r>
          </w:p>
        </w:tc>
        <w:tc>
          <w:tcPr>
            <w:tcW w:w="2822" w:type="dxa"/>
            <w:tcBorders/>
            <w:shd w:fill="auto" w:val="clear"/>
          </w:tcPr>
          <w:p>
            <w:pPr>
              <w:pStyle w:val="Normal"/>
              <w:spacing w:before="120" w:after="0"/>
              <w:jc w:val="center"/>
              <w:rPr/>
            </w:pPr>
            <w:r>
              <w:rPr/>
              <w:t>6.8</w:t>
            </w:r>
            <w:r>
              <w:rPr>
                <w:vertAlign w:val="superscript"/>
              </w:rPr>
              <w:t>1</w:t>
            </w:r>
          </w:p>
        </w:tc>
      </w:tr>
      <w:tr>
        <w:trPr/>
        <w:tc>
          <w:tcPr>
            <w:tcW w:w="1776" w:type="dxa"/>
            <w:tcBorders/>
            <w:shd w:fill="auto" w:val="clear"/>
          </w:tcPr>
          <w:p>
            <w:pPr>
              <w:pStyle w:val="AssumptionID"/>
              <w:numPr>
                <w:ilvl w:val="0"/>
                <w:numId w:val="0"/>
              </w:numPr>
              <w:spacing w:before="120" w:after="0"/>
              <w:rPr/>
            </w:pPr>
            <w:r>
              <w:rPr/>
              <w:t>Engineers</w:t>
            </w:r>
          </w:p>
        </w:tc>
        <w:tc>
          <w:tcPr>
            <w:tcW w:w="2822" w:type="dxa"/>
            <w:tcBorders/>
            <w:shd w:fill="auto" w:val="clear"/>
          </w:tcPr>
          <w:p>
            <w:pPr>
              <w:pStyle w:val="Normal"/>
              <w:spacing w:before="120" w:after="0"/>
              <w:jc w:val="center"/>
              <w:rPr/>
            </w:pPr>
            <w:r>
              <w:rPr/>
              <w:t>1.3</w:t>
            </w:r>
            <w:r>
              <w:rPr>
                <w:vertAlign w:val="superscript"/>
              </w:rPr>
              <w:t>2</w:t>
            </w:r>
          </w:p>
        </w:tc>
      </w:tr>
    </w:tbl>
    <w:p>
      <w:pPr>
        <w:pStyle w:val="Section"/>
        <w:rPr>
          <w:rFonts w:ascii="Calibri" w:hAnsi="Calibri"/>
          <w:color w:val="auto"/>
          <w:sz w:val="24"/>
          <w:szCs w:val="24"/>
        </w:rPr>
      </w:pPr>
      <w:r>
        <w:rPr>
          <w:rFonts w:ascii="Calibri" w:hAnsi="Calibri"/>
          <w:color w:val="auto"/>
          <w:sz w:val="24"/>
          <w:szCs w:val="24"/>
        </w:rPr>
        <w:t>1. The number for students and postdoc includes positions that will be funded within the R&amp;D project (i.e. for which at present funds are not guaranteed).</w:t>
      </w:r>
    </w:p>
    <w:p>
      <w:pPr>
        <w:pStyle w:val="Normal"/>
        <w:rPr/>
      </w:pPr>
      <w:r>
        <w:rPr>
          <w:color w:val="auto"/>
          <w:sz w:val="24"/>
          <w:szCs w:val="24"/>
        </w:rPr>
        <w:t>2. The number of engineers includes technical manpower from institute workshops that are not engineers but are nevertheless actively participating to the design efforts.</w:t>
      </w:r>
    </w:p>
    <w:sectPr>
      <w:footerReference w:type="default" r:id="rId2"/>
      <w:type w:val="nextPage"/>
      <w:pgSz w:w="11906" w:h="16838"/>
      <w:pgMar w:left="1134" w:right="1134" w:header="0" w:top="1418" w:footer="1049" w:bottom="1418"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auto"/>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Gallery w:val="Page Numbers (Top of Page)"/>
        <w:docPartUnique w:val="true"/>
      </w:docPartObj>
      <w:id w:val="1601514753"/>
    </w:sdtPr>
    <w:sdtContent>
      <w:p>
        <w:pPr>
          <w:pStyle w:val="Normal"/>
          <w:spacing w:before="120" w:after="0"/>
          <w:rPr/>
        </w:pPr>
        <w:r>
          <w:rPr/>
          <w:t xml:space="preserve">Page </w:t>
        </w:r>
        <w:r>
          <w:rPr/>
          <w:fldChar w:fldCharType="begin"/>
        </w:r>
        <w:r>
          <w:rPr/>
          <w:instrText> PAGE </w:instrText>
        </w:r>
        <w:r>
          <w:rPr/>
          <w:fldChar w:fldCharType="separate"/>
        </w:r>
        <w:r>
          <w:rPr/>
          <w:t>4</w:t>
        </w:r>
        <w:r>
          <w:rPr/>
          <w:fldChar w:fldCharType="end"/>
        </w:r>
        <w:r>
          <w:rPr/>
          <w:t xml:space="preserve"> of </w:t>
        </w:r>
        <w:r>
          <w:rPr/>
          <w:fldChar w:fldCharType="begin"/>
        </w:r>
        <w:r>
          <w:rPr/>
          <w:instrText> NUMPAGES </w:instrText>
        </w:r>
        <w:r>
          <w:rPr/>
          <w:fldChar w:fldCharType="separate"/>
        </w:r>
        <w:r>
          <w:rPr/>
          <w:t>5</w:t>
        </w:r>
        <w:r>
          <w:rPr/>
          <w:fldChar w:fldCharType="end"/>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none"/>
      <w:suff w:val="nothing"/>
      <w:lvlText w:val=""/>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pStyle w:val="Heading9"/>
      <w:numFmt w:val="none"/>
      <w:suff w:val="nothing"/>
      <w:lvlText w:val=""/>
      <w:lvlJc w:val="left"/>
      <w:pPr>
        <w:ind w:left="0" w:hanging="0"/>
      </w:pPr>
    </w:lvl>
  </w:abstractNum>
  <w:abstractNum w:abstractNumId="2">
    <w:lvl w:ilvl="0">
      <w:start w:val="1"/>
      <w:numFmt w:val="lowerRoman"/>
      <w:lvlText w:val="%1."/>
      <w:lvlJc w:val="right"/>
      <w:pPr>
        <w:ind w:left="0" w:hanging="0"/>
      </w:pPr>
      <w:rPr>
        <w:b/>
      </w:rPr>
    </w:lvl>
    <w:lvl w:ilvl="1">
      <w:start w:val="1"/>
      <w:numFmt w:val="bullet"/>
      <w:lvlText w:val="o"/>
      <w:lvlJc w:val="left"/>
      <w:pPr>
        <w:ind w:left="1440" w:hanging="360"/>
      </w:pPr>
      <w:rPr>
        <w:rFonts w:ascii="Courier New" w:hAnsi="Courier New" w:cs="Courier New" w:hint="default"/>
        <w:b/>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rsid w:val="002b6c53"/>
    <w:pPr>
      <w:widowControl/>
      <w:bidi w:val="0"/>
      <w:spacing w:before="120" w:after="0"/>
      <w:jc w:val="both"/>
    </w:pPr>
    <w:rPr>
      <w:rFonts w:ascii="Calibri" w:hAnsi="Calibri" w:eastAsia="Calibri" w:cs="" w:asciiTheme="minorHAnsi" w:cstheme="minorBidi" w:eastAsiaTheme="minorHAnsi" w:hAnsiTheme="minorHAnsi"/>
      <w:color w:val="auto"/>
      <w:kern w:val="0"/>
      <w:sz w:val="24"/>
      <w:szCs w:val="24"/>
      <w:lang w:val="en-US" w:eastAsia="en-US" w:bidi="ar-SA"/>
    </w:rPr>
  </w:style>
  <w:style w:type="paragraph" w:styleId="Heading1">
    <w:name w:val="Heading 1"/>
    <w:basedOn w:val="Normal"/>
    <w:uiPriority w:val="1"/>
    <w:qFormat/>
    <w:rsid w:val="00214c99"/>
    <w:pPr>
      <w:numPr>
        <w:ilvl w:val="0"/>
        <w:numId w:val="1"/>
      </w:numPr>
      <w:spacing w:before="240" w:after="0"/>
      <w:outlineLvl w:val="0"/>
    </w:pPr>
    <w:rPr>
      <w:rFonts w:ascii="Times New Roman" w:hAnsi="Times New Roman" w:eastAsia="Times New Roman"/>
      <w:b/>
      <w:bCs/>
      <w:sz w:val="28"/>
      <w:szCs w:val="28"/>
    </w:rPr>
  </w:style>
  <w:style w:type="paragraph" w:styleId="Heading2">
    <w:name w:val="Heading 2"/>
    <w:basedOn w:val="Normal"/>
    <w:next w:val="Normal"/>
    <w:uiPriority w:val="1"/>
    <w:qFormat/>
    <w:rsid w:val="00214c99"/>
    <w:pPr>
      <w:numPr>
        <w:ilvl w:val="1"/>
        <w:numId w:val="1"/>
      </w:numPr>
      <w:spacing w:before="240" w:after="0"/>
      <w:outlineLvl w:val="1"/>
    </w:pPr>
    <w:rPr>
      <w:rFonts w:ascii="Times New Roman" w:hAnsi="Times New Roman" w:eastAsia="Times New Roman"/>
      <w:b/>
      <w:bCs/>
    </w:rPr>
  </w:style>
  <w:style w:type="paragraph" w:styleId="Heading3">
    <w:name w:val="Heading 3"/>
    <w:basedOn w:val="Normal"/>
    <w:next w:val="Normal"/>
    <w:link w:val="Heading3Char"/>
    <w:uiPriority w:val="9"/>
    <w:unhideWhenUsed/>
    <w:qFormat/>
    <w:rsid w:val="00214c99"/>
    <w:pPr>
      <w:keepNext w:val="true"/>
      <w:keepLines/>
      <w:numPr>
        <w:ilvl w:val="2"/>
        <w:numId w:val="1"/>
      </w:numPr>
      <w:outlineLvl w:val="2"/>
    </w:pPr>
    <w:rPr>
      <w:rFonts w:ascii="Cambria" w:hAnsi="Cambria" w:eastAsia="ＭＳ ゴシック" w:cs="" w:asciiTheme="majorHAnsi" w:cstheme="majorBidi" w:eastAsiaTheme="majorEastAsia" w:hAnsiTheme="majorHAnsi"/>
      <w:bCs/>
    </w:rPr>
  </w:style>
  <w:style w:type="paragraph" w:styleId="Heading4">
    <w:name w:val="Heading 4"/>
    <w:basedOn w:val="Normal"/>
    <w:next w:val="Normal"/>
    <w:link w:val="Heading4Char"/>
    <w:uiPriority w:val="9"/>
    <w:unhideWhenUsed/>
    <w:qFormat/>
    <w:rsid w:val="00214c99"/>
    <w:pPr>
      <w:keepNext w:val="true"/>
      <w:keepLines/>
      <w:numPr>
        <w:ilvl w:val="3"/>
        <w:numId w:val="1"/>
      </w:numPr>
      <w:spacing w:before="200" w:after="0"/>
      <w:outlineLvl w:val="3"/>
    </w:pPr>
    <w:rPr>
      <w:rFonts w:ascii="Cambria" w:hAnsi="Cambria" w:eastAsia="ＭＳ ゴシック" w:cs="" w:asciiTheme="majorHAnsi" w:cstheme="majorBidi" w:eastAsiaTheme="majorEastAsia" w:hAnsiTheme="majorHAnsi"/>
      <w:b/>
      <w:bCs/>
      <w:iCs/>
      <w:color w:val="4F81BD" w:themeColor="accent1"/>
    </w:rPr>
  </w:style>
  <w:style w:type="paragraph" w:styleId="Heading5">
    <w:name w:val="Heading 5"/>
    <w:basedOn w:val="Normal"/>
    <w:next w:val="Normal"/>
    <w:link w:val="Heading5Char"/>
    <w:uiPriority w:val="9"/>
    <w:unhideWhenUsed/>
    <w:qFormat/>
    <w:rsid w:val="00214c99"/>
    <w:pPr>
      <w:keepNext w:val="true"/>
      <w:keepLines/>
      <w:numPr>
        <w:ilvl w:val="4"/>
        <w:numId w:val="1"/>
      </w:numPr>
      <w:outlineLvl w:val="4"/>
    </w:pPr>
    <w:rPr>
      <w:rFonts w:ascii="Cambria" w:hAnsi="Cambria" w:eastAsia="ＭＳ ゴシック" w:cs="" w:asciiTheme="majorHAnsi" w:cstheme="majorBidi" w:eastAsiaTheme="majorEastAsia" w:hAnsiTheme="majorHAnsi"/>
    </w:rPr>
  </w:style>
  <w:style w:type="paragraph" w:styleId="Heading6">
    <w:name w:val="Heading 6"/>
    <w:basedOn w:val="Normal"/>
    <w:next w:val="Normal"/>
    <w:link w:val="Heading6Char"/>
    <w:uiPriority w:val="9"/>
    <w:semiHidden/>
    <w:unhideWhenUsed/>
    <w:qFormat/>
    <w:rsid w:val="00214c99"/>
    <w:pPr>
      <w:keepNext w:val="true"/>
      <w:keepLines/>
      <w:numPr>
        <w:ilvl w:val="5"/>
        <w:numId w:val="1"/>
      </w:numPr>
      <w:spacing w:before="200" w:after="0"/>
      <w:outlineLvl w:val="5"/>
    </w:pPr>
    <w:rPr>
      <w:rFonts w:ascii="Cambria" w:hAnsi="Cambria"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val="true"/>
      <w:keepLines/>
      <w:numPr>
        <w:ilvl w:val="6"/>
        <w:numId w:val="1"/>
      </w:numPr>
      <w:spacing w:before="200" w:after="0"/>
      <w:outlineLvl w:val="6"/>
    </w:pPr>
    <w:rPr>
      <w:rFonts w:ascii="Cambria" w:hAnsi="Cambria"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214c99"/>
    <w:pPr>
      <w:keepNext w:val="true"/>
      <w:keepLines/>
      <w:numPr>
        <w:ilvl w:val="7"/>
        <w:numId w:val="1"/>
      </w:numPr>
      <w:spacing w:before="200" w:after="0"/>
      <w:outlineLvl w:val="7"/>
    </w:pPr>
    <w:rPr>
      <w:rFonts w:ascii="Cambria" w:hAnsi="Cambria" w:eastAsia="ＭＳ ゴシック" w:c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val="true"/>
      <w:keepLines/>
      <w:numPr>
        <w:ilvl w:val="8"/>
        <w:numId w:val="1"/>
      </w:numPr>
      <w:spacing w:before="200" w:after="0"/>
      <w:outlineLvl w:val="8"/>
    </w:pPr>
    <w:rPr>
      <w:rFonts w:ascii="Cambria" w:hAnsi="Cambria"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uiPriority w:val="9"/>
    <w:qFormat/>
    <w:rsid w:val="00214c99"/>
    <w:rPr>
      <w:rFonts w:ascii="Cambria" w:hAnsi="Cambria" w:eastAsia="ＭＳ ゴシック" w:cs="" w:asciiTheme="majorHAnsi" w:cstheme="majorBidi" w:eastAsiaTheme="majorEastAsia" w:hAnsiTheme="majorHAnsi"/>
      <w:bCs/>
    </w:rPr>
  </w:style>
  <w:style w:type="character" w:styleId="Heading4Char" w:customStyle="1">
    <w:name w:val="Heading 4 Char"/>
    <w:basedOn w:val="DefaultParagraphFont"/>
    <w:link w:val="Heading4"/>
    <w:uiPriority w:val="9"/>
    <w:qFormat/>
    <w:rsid w:val="00214c99"/>
    <w:rPr>
      <w:rFonts w:ascii="Cambria" w:hAnsi="Cambria" w:eastAsia="ＭＳ ゴシック" w:cs="" w:asciiTheme="majorHAnsi" w:cstheme="majorBidi" w:eastAsiaTheme="majorEastAsia" w:hAnsiTheme="majorHAnsi"/>
      <w:b/>
      <w:bCs/>
      <w:iCs/>
      <w:color w:val="4F81BD" w:themeColor="accent1"/>
    </w:rPr>
  </w:style>
  <w:style w:type="character" w:styleId="Heading5Char" w:customStyle="1">
    <w:name w:val="Heading 5 Char"/>
    <w:basedOn w:val="DefaultParagraphFont"/>
    <w:link w:val="Heading5"/>
    <w:uiPriority w:val="9"/>
    <w:qFormat/>
    <w:rsid w:val="00214c99"/>
    <w:rPr>
      <w:rFonts w:ascii="Cambria" w:hAnsi="Cambria" w:eastAsia="ＭＳ ゴシック" w:cs="" w:asciiTheme="majorHAnsi" w:cstheme="majorBidi" w:eastAsiaTheme="majorEastAsia" w:hAnsiTheme="majorHAnsi"/>
      <w:sz w:val="24"/>
    </w:rPr>
  </w:style>
  <w:style w:type="character" w:styleId="BalloonTextChar" w:customStyle="1">
    <w:name w:val="Balloon Text Char"/>
    <w:basedOn w:val="DefaultParagraphFont"/>
    <w:link w:val="BalloonText"/>
    <w:uiPriority w:val="99"/>
    <w:semiHidden/>
    <w:qFormat/>
    <w:rsid w:val="001b7988"/>
    <w:rPr>
      <w:rFonts w:ascii="Tahoma" w:hAnsi="Tahoma" w:cs="Tahoma"/>
      <w:sz w:val="16"/>
      <w:szCs w:val="16"/>
    </w:rPr>
  </w:style>
  <w:style w:type="character" w:styleId="Heading6Char" w:customStyle="1">
    <w:name w:val="Heading 6 Char"/>
    <w:basedOn w:val="DefaultParagraphFont"/>
    <w:link w:val="Heading6"/>
    <w:uiPriority w:val="9"/>
    <w:semiHidden/>
    <w:qFormat/>
    <w:rsid w:val="00214c99"/>
    <w:rPr>
      <w:rFonts w:ascii="Cambria" w:hAnsi="Cambria"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214c99"/>
    <w:rPr>
      <w:rFonts w:ascii="Cambria" w:hAnsi="Cambria"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214c99"/>
    <w:rPr>
      <w:rFonts w:ascii="Cambria" w:hAnsi="Cambria" w:eastAsia="ＭＳ ゴシック" w:cs="" w:asciiTheme="majorHAnsi" w:cstheme="majorBidi" w:eastAsiaTheme="majorEastAsia" w:hAnsiTheme="majorHAnsi"/>
      <w:color w:val="404040" w:themeColor="text1" w:themeTint="bf"/>
      <w:sz w:val="20"/>
      <w:szCs w:val="20"/>
    </w:rPr>
  </w:style>
  <w:style w:type="character" w:styleId="Heading9Char" w:customStyle="1">
    <w:name w:val="Heading 9 Char"/>
    <w:basedOn w:val="DefaultParagraphFont"/>
    <w:link w:val="Heading9"/>
    <w:uiPriority w:val="9"/>
    <w:semiHidden/>
    <w:qFormat/>
    <w:rsid w:val="00214c99"/>
    <w:rPr>
      <w:rFonts w:ascii="Cambria" w:hAnsi="Cambria" w:eastAsia="ＭＳ ゴシック" w:cs="" w:asciiTheme="majorHAnsi" w:cstheme="majorBidi" w:eastAsiaTheme="majorEastAsia" w:hAnsiTheme="majorHAnsi"/>
      <w:i/>
      <w:iCs/>
      <w:color w:val="404040" w:themeColor="text1" w:themeTint="bf"/>
      <w:sz w:val="20"/>
      <w:szCs w:val="20"/>
    </w:rPr>
  </w:style>
  <w:style w:type="character" w:styleId="TitleChar" w:customStyle="1">
    <w:name w:val="Title Char"/>
    <w:basedOn w:val="DefaultParagraphFont"/>
    <w:link w:val="Title"/>
    <w:uiPriority w:val="10"/>
    <w:qFormat/>
    <w:rsid w:val="006f4838"/>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character" w:styleId="HeaderChar" w:customStyle="1">
    <w:name w:val="Header Char"/>
    <w:basedOn w:val="DefaultParagraphFont"/>
    <w:link w:val="Header"/>
    <w:uiPriority w:val="99"/>
    <w:qFormat/>
    <w:rsid w:val="00664493"/>
    <w:rPr>
      <w:sz w:val="24"/>
      <w:szCs w:val="24"/>
    </w:rPr>
  </w:style>
  <w:style w:type="character" w:styleId="InternetLink">
    <w:name w:val="Internet 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qFormat/>
    <w:rsid w:val="00df208a"/>
    <w:rPr>
      <w:color w:val="800080" w:themeColor="followedHyperlink"/>
      <w:u w:val="single"/>
    </w:rPr>
  </w:style>
  <w:style w:type="character" w:styleId="FooterChar" w:customStyle="1">
    <w:name w:val="Footer Char"/>
    <w:basedOn w:val="DefaultParagraphFont"/>
    <w:link w:val="Footer"/>
    <w:uiPriority w:val="99"/>
    <w:qFormat/>
    <w:rsid w:val="00664493"/>
    <w:rPr>
      <w:sz w:val="24"/>
      <w:szCs w:val="24"/>
    </w:rPr>
  </w:style>
  <w:style w:type="character" w:styleId="CommentTextChar" w:customStyle="1">
    <w:name w:val="Comment Text Char"/>
    <w:basedOn w:val="DefaultParagraphFont"/>
    <w:link w:val="CommentText"/>
    <w:uiPriority w:val="99"/>
    <w:semiHidden/>
    <w:qFormat/>
    <w:rsid w:val="00db7a25"/>
    <w:rPr>
      <w:sz w:val="24"/>
      <w:szCs w:val="24"/>
    </w:rPr>
  </w:style>
  <w:style w:type="character" w:styleId="Annotationreference">
    <w:name w:val="annotation reference"/>
    <w:basedOn w:val="DefaultParagraphFont"/>
    <w:uiPriority w:val="99"/>
    <w:semiHidden/>
    <w:unhideWhenUsed/>
    <w:qFormat/>
    <w:rsid w:val="00db7a25"/>
    <w:rPr>
      <w:sz w:val="16"/>
      <w:szCs w:val="16"/>
    </w:rPr>
  </w:style>
  <w:style w:type="character" w:styleId="CommentSubjectChar" w:customStyle="1">
    <w:name w:val="Comment Subject Char"/>
    <w:basedOn w:val="CommentTextChar"/>
    <w:link w:val="CommentSubject"/>
    <w:uiPriority w:val="99"/>
    <w:semiHidden/>
    <w:qFormat/>
    <w:rsid w:val="00a866ca"/>
    <w:rPr>
      <w:b/>
      <w:bCs/>
      <w:sz w:val="20"/>
      <w:szCs w:val="20"/>
    </w:rPr>
  </w:style>
  <w:style w:type="character" w:styleId="UnresolvedMention">
    <w:name w:val="Unresolved Mention"/>
    <w:basedOn w:val="DefaultParagraphFont"/>
    <w:uiPriority w:val="99"/>
    <w:qFormat/>
    <w:rsid w:val="0090583c"/>
    <w:rPr>
      <w:color w:val="605E5C"/>
      <w:shd w:fill="E1DFDD" w:val="clear"/>
    </w:rPr>
  </w:style>
  <w:style w:type="character" w:styleId="ListLabel1">
    <w:name w:val="ListLabel 1"/>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
    <w:name w:val="ListLabel 2"/>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3">
    <w:name w:val="ListLabel 3"/>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4">
    <w:name w:val="ListLabel 4"/>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5">
    <w:name w:val="ListLabel 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6">
    <w:name w:val="ListLabel 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7">
    <w:name w:val="ListLabel 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8">
    <w:name w:val="ListLabel 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9">
    <w:name w:val="ListLabel 9"/>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0">
    <w:name w:val="ListLabel 10"/>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11">
    <w:name w:val="ListLabel 11"/>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12">
    <w:name w:val="ListLabel 12"/>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3">
    <w:name w:val="ListLabel 13"/>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14">
    <w:name w:val="ListLabel 14"/>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5">
    <w:name w:val="ListLabel 1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16">
    <w:name w:val="ListLabel 1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17">
    <w:name w:val="ListLabel 1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18">
    <w:name w:val="ListLabel 1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19">
    <w:name w:val="ListLabel 19"/>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20">
    <w:name w:val="ListLabel 20"/>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1">
    <w:name w:val="ListLabel 21"/>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22">
    <w:name w:val="ListLabel 22"/>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23">
    <w:name w:val="ListLabel 23"/>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24">
    <w:name w:val="ListLabel 24"/>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25">
    <w:name w:val="ListLabel 25"/>
    <w:qFormat/>
    <w:rPr>
      <w:b/>
      <w:bCs/>
      <w:i w:val="false"/>
      <w:iCs w:val="false"/>
      <w:caps w:val="false"/>
      <w:smallCaps w:val="false"/>
      <w:strike w:val="false"/>
      <w:dstrike w:val="false"/>
      <w:vanish w:val="false"/>
      <w:color w:val="4F81BD"/>
      <w:position w:val="0"/>
      <w:sz w:val="28"/>
      <w:sz w:val="28"/>
      <w:szCs w:val="28"/>
      <w:u w:val="none"/>
      <w:vertAlign w:val="baseline"/>
    </w:rPr>
  </w:style>
  <w:style w:type="character" w:styleId="ListLabel26">
    <w:name w:val="ListLabel 26"/>
    <w:qFormat/>
    <w:rPr>
      <w:b/>
      <w:bCs/>
      <w:i w:val="false"/>
      <w:iCs w:val="false"/>
      <w:caps w:val="false"/>
      <w:smallCaps w:val="false"/>
      <w:strike w:val="false"/>
      <w:dstrike w:val="false"/>
      <w:vanish w:val="false"/>
      <w:color w:val="4F81BD"/>
      <w:spacing w:val="0"/>
      <w:kern w:val="0"/>
      <w:position w:val="0"/>
      <w:sz w:val="28"/>
      <w:sz w:val="28"/>
      <w:szCs w:val="28"/>
      <w:u w:val="none"/>
      <w:effect w:val="none"/>
      <w:vertAlign w:val="baseline"/>
      <w:em w:val="none"/>
    </w:rPr>
  </w:style>
  <w:style w:type="character" w:styleId="ListLabel27">
    <w:name w:val="ListLabel 27"/>
    <w:qFormat/>
    <w:rPr>
      <w:b/>
      <w:bCs/>
      <w:i w:val="false"/>
      <w:iCs w:val="false"/>
      <w:caps w:val="false"/>
      <w:smallCaps w:val="false"/>
      <w:strike w:val="false"/>
      <w:dstrike w:val="false"/>
      <w:vanish w:val="false"/>
      <w:color w:val="4F81BD"/>
      <w:position w:val="0"/>
      <w:sz w:val="24"/>
      <w:sz w:val="24"/>
      <w:szCs w:val="24"/>
      <w:u w:val="none"/>
      <w:vertAlign w:val="baseline"/>
    </w:rPr>
  </w:style>
  <w:style w:type="character" w:styleId="ListLabel28">
    <w:name w:val="ListLabel 28"/>
    <w:qFormat/>
    <w:rPr>
      <w:b/>
      <w:bCs/>
      <w:i w:val="false"/>
      <w:iCs w:val="false"/>
      <w:caps w:val="false"/>
      <w:smallCaps w:val="false"/>
      <w:strike w:val="false"/>
      <w:dstrike w:val="false"/>
      <w:vanish w:val="false"/>
      <w:color w:val="4F81BD"/>
      <w:position w:val="0"/>
      <w:sz w:val="24"/>
      <w:sz w:val="24"/>
      <w:szCs w:val="24"/>
      <w:vertAlign w:val="baseline"/>
    </w:rPr>
  </w:style>
  <w:style w:type="character" w:styleId="ListLabel29">
    <w:name w:val="ListLabel 29"/>
    <w:qFormat/>
    <w:rPr>
      <w:b/>
      <w:bCs/>
      <w:i w:val="false"/>
      <w:iCs w:val="false"/>
      <w:caps w:val="false"/>
      <w:smallCaps w:val="false"/>
      <w:strike w:val="false"/>
      <w:dstrike w:val="false"/>
      <w:vanish w:val="false"/>
      <w:color w:val="auto"/>
      <w:position w:val="0"/>
      <w:sz w:val="24"/>
      <w:sz w:val="24"/>
      <w:szCs w:val="24"/>
      <w:u w:val="none"/>
      <w:vertAlign w:val="baseline"/>
    </w:rPr>
  </w:style>
  <w:style w:type="character" w:styleId="ListLabel30">
    <w:name w:val="ListLabel 30"/>
    <w:qFormat/>
    <w:rPr>
      <w:b w:val="false"/>
      <w:bCs w:val="false"/>
      <w:i w:val="false"/>
      <w:iCs w:val="false"/>
      <w:caps w:val="false"/>
      <w:smallCaps w:val="false"/>
      <w:strike w:val="false"/>
      <w:dstrike w:val="false"/>
      <w:vanish w:val="false"/>
      <w:color w:val="auto"/>
      <w:position w:val="0"/>
      <w:sz w:val="24"/>
      <w:sz w:val="24"/>
      <w:szCs w:val="24"/>
      <w:u w:val="none"/>
      <w:vertAlign w:val="baseline"/>
    </w:rPr>
  </w:style>
  <w:style w:type="character" w:styleId="ListLabel31">
    <w:name w:val="ListLabel 31"/>
    <w:qFormat/>
    <w:rPr>
      <w:b w:val="false"/>
      <w:bCs w:val="false"/>
      <w:i w:val="false"/>
      <w:iCs w:val="false"/>
      <w:caps w:val="false"/>
      <w:smallCaps w:val="false"/>
      <w:strike w:val="false"/>
      <w:dstrike w:val="false"/>
      <w:vanish w:val="false"/>
      <w:color w:val="auto"/>
      <w:position w:val="0"/>
      <w:sz w:val="24"/>
      <w:sz w:val="24"/>
      <w:szCs w:val="24"/>
      <w:u w:val="none"/>
      <w:vertAlign w:val="baselin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i/>
    </w:rPr>
  </w:style>
  <w:style w:type="character" w:styleId="ListLabel52">
    <w:name w:val="ListLabel 52"/>
    <w:qFormat/>
    <w:rPr>
      <w:i/>
      <w:iCs/>
    </w:rPr>
  </w:style>
  <w:style w:type="character" w:styleId="ListLabel53">
    <w:name w:val="ListLabel 53"/>
    <w:qFormat/>
    <w:rPr>
      <w:i/>
    </w:rPr>
  </w:style>
  <w:style w:type="character" w:styleId="ListLabel54">
    <w:name w:val="ListLabel 54"/>
    <w:qFormat/>
    <w:rPr>
      <w:b/>
    </w:rPr>
  </w:style>
  <w:style w:type="character" w:styleId="ListLabel55">
    <w:name w:val="ListLabel 55"/>
    <w:qFormat/>
    <w:rPr>
      <w:rFonts w:cs="Courier New"/>
      <w:b/>
    </w:rPr>
  </w:style>
  <w:style w:type="character" w:styleId="ListLabel56">
    <w:name w:val="ListLabel 56"/>
    <w:qFormat/>
    <w:rPr>
      <w:rFonts w:cs="Wingdings"/>
    </w:rPr>
  </w:style>
  <w:style w:type="character" w:styleId="ListLabel57">
    <w:name w:val="ListLabel 57"/>
    <w:qFormat/>
    <w:rPr>
      <w:rFonts w:cs="Symbol"/>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i/>
      <w:iCs/>
    </w:rPr>
  </w:style>
  <w:style w:type="character" w:styleId="ListLabel64">
    <w:name w:val="ListLabel 64"/>
    <w:qFormat/>
    <w:rPr>
      <w:i/>
    </w:rPr>
  </w:style>
  <w:style w:type="character" w:styleId="ListLabel65">
    <w:name w:val="ListLabel 65"/>
    <w:qFormat/>
    <w:rPr>
      <w:b/>
    </w:rPr>
  </w:style>
  <w:style w:type="character" w:styleId="ListLabel66">
    <w:name w:val="ListLabel 66"/>
    <w:qFormat/>
    <w:rPr>
      <w:rFonts w:cs="Courier New"/>
      <w:b/>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i/>
      <w:iCs/>
    </w:rPr>
  </w:style>
  <w:style w:type="character" w:styleId="ListLabel75">
    <w:name w:val="ListLabel 75"/>
    <w:qFormat/>
    <w:rPr>
      <w:i/>
    </w:rPr>
  </w:style>
  <w:style w:type="character" w:styleId="ListLabel76">
    <w:name w:val="ListLabel 76"/>
    <w:qFormat/>
    <w:rPr>
      <w:b/>
    </w:rPr>
  </w:style>
  <w:style w:type="character" w:styleId="ListLabel77">
    <w:name w:val="ListLabel 77"/>
    <w:qFormat/>
    <w:rPr>
      <w:rFonts w:cs="Courier New"/>
      <w:b/>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i/>
      <w:iCs/>
    </w:rPr>
  </w:style>
  <w:style w:type="character" w:styleId="ListLabel86">
    <w:name w:val="ListLabel 86"/>
    <w:qFormat/>
    <w:rPr>
      <w:i/>
    </w:rPr>
  </w:style>
  <w:style w:type="character" w:styleId="ListLabel87">
    <w:name w:val="ListLabel 87"/>
    <w:qFormat/>
    <w:rPr>
      <w:b/>
    </w:rPr>
  </w:style>
  <w:style w:type="character" w:styleId="ListLabel88">
    <w:name w:val="ListLabel 88"/>
    <w:qFormat/>
    <w:rPr>
      <w:rFonts w:cs="Courier New"/>
      <w:b/>
    </w:rPr>
  </w:style>
  <w:style w:type="character" w:styleId="ListLabel89">
    <w:name w:val="ListLabel 89"/>
    <w:qFormat/>
    <w:rPr>
      <w:rFonts w:cs="Wingdings"/>
    </w:rPr>
  </w:style>
  <w:style w:type="character" w:styleId="ListLabel90">
    <w:name w:val="ListLabel 90"/>
    <w:qFormat/>
    <w:rPr>
      <w:rFonts w:cs="Symbol"/>
    </w:rPr>
  </w:style>
  <w:style w:type="character" w:styleId="ListLabel91">
    <w:name w:val="ListLabel 91"/>
    <w:qFormat/>
    <w:rPr>
      <w:rFonts w:cs="Courier New"/>
    </w:rPr>
  </w:style>
  <w:style w:type="character" w:styleId="ListLabel92">
    <w:name w:val="ListLabel 92"/>
    <w:qFormat/>
    <w:rPr>
      <w:rFonts w:cs="Wingdings"/>
    </w:rPr>
  </w:style>
  <w:style w:type="character" w:styleId="ListLabel93">
    <w:name w:val="ListLabel 93"/>
    <w:qFormat/>
    <w:rPr>
      <w:rFonts w:cs="Symbol"/>
    </w:rPr>
  </w:style>
  <w:style w:type="character" w:styleId="ListLabel94">
    <w:name w:val="ListLabel 94"/>
    <w:qFormat/>
    <w:rPr>
      <w:rFonts w:cs="Courier New"/>
    </w:rPr>
  </w:style>
  <w:style w:type="character" w:styleId="ListLabel95">
    <w:name w:val="ListLabel 95"/>
    <w:qFormat/>
    <w:rPr>
      <w:rFonts w:cs="Wingdings"/>
    </w:rPr>
  </w:style>
  <w:style w:type="character" w:styleId="ListLabel96">
    <w:name w:val="ListLabel 96"/>
    <w:qFormat/>
    <w:rPr>
      <w:i/>
      <w:iCs/>
    </w:rPr>
  </w:style>
  <w:style w:type="character" w:styleId="ListLabel97">
    <w:name w:val="ListLabel 97"/>
    <w:qFormat/>
    <w:rPr>
      <w:i/>
    </w:rPr>
  </w:style>
  <w:style w:type="character" w:styleId="ListLabel98">
    <w:name w:val="ListLabel 98"/>
    <w:qFormat/>
    <w:rPr>
      <w:b/>
    </w:rPr>
  </w:style>
  <w:style w:type="character" w:styleId="ListLabel99">
    <w:name w:val="ListLabel 99"/>
    <w:qFormat/>
    <w:rPr>
      <w:rFonts w:cs="Courier New"/>
      <w:b/>
    </w:rPr>
  </w:style>
  <w:style w:type="character" w:styleId="ListLabel100">
    <w:name w:val="ListLabel 100"/>
    <w:qFormat/>
    <w:rPr>
      <w:rFonts w:cs="Wingdings"/>
    </w:rPr>
  </w:style>
  <w:style w:type="character" w:styleId="ListLabel101">
    <w:name w:val="ListLabel 101"/>
    <w:qFormat/>
    <w:rPr>
      <w:rFonts w:cs="Symbol"/>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i/>
      <w:iCs/>
    </w:rPr>
  </w:style>
  <w:style w:type="character" w:styleId="ListLabel108">
    <w:name w:val="ListLabel 108"/>
    <w:qFormat/>
    <w:rPr>
      <w:i/>
    </w:rPr>
  </w:style>
  <w:style w:type="character" w:styleId="ListLabel109">
    <w:name w:val="ListLabel 109"/>
    <w:qFormat/>
    <w:rPr>
      <w:b/>
    </w:rPr>
  </w:style>
  <w:style w:type="character" w:styleId="ListLabel110">
    <w:name w:val="ListLabel 110"/>
    <w:qFormat/>
    <w:rPr>
      <w:rFonts w:cs="Courier New"/>
      <w:b/>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i/>
      <w:iCs/>
    </w:rPr>
  </w:style>
  <w:style w:type="character" w:styleId="ListLabel119">
    <w:name w:val="ListLabel 119"/>
    <w:qFormat/>
    <w:rPr>
      <w:i/>
    </w:rPr>
  </w:style>
  <w:style w:type="character" w:styleId="ListLabel120">
    <w:name w:val="ListLabel 120"/>
    <w:qFormat/>
    <w:rPr>
      <w:b/>
    </w:rPr>
  </w:style>
  <w:style w:type="character" w:styleId="ListLabel121">
    <w:name w:val="ListLabel 121"/>
    <w:qFormat/>
    <w:rPr>
      <w:rFonts w:cs="Courier New"/>
      <w:b/>
    </w:rPr>
  </w:style>
  <w:style w:type="character" w:styleId="ListLabel122">
    <w:name w:val="ListLabel 122"/>
    <w:qFormat/>
    <w:rPr>
      <w:rFonts w:cs="Wingdings"/>
    </w:rPr>
  </w:style>
  <w:style w:type="character" w:styleId="ListLabel123">
    <w:name w:val="ListLabel 123"/>
    <w:qFormat/>
    <w:rPr>
      <w:rFonts w:cs="Symbol"/>
    </w:rPr>
  </w:style>
  <w:style w:type="character" w:styleId="ListLabel124">
    <w:name w:val="ListLabel 124"/>
    <w:qFormat/>
    <w:rPr>
      <w:rFonts w:cs="Courier New"/>
    </w:rPr>
  </w:style>
  <w:style w:type="character" w:styleId="ListLabel125">
    <w:name w:val="ListLabel 125"/>
    <w:qFormat/>
    <w:rPr>
      <w:rFonts w:cs="Wingdings"/>
    </w:rPr>
  </w:style>
  <w:style w:type="character" w:styleId="ListLabel126">
    <w:name w:val="ListLabel 126"/>
    <w:qFormat/>
    <w:rPr>
      <w:rFonts w:cs="Symbol"/>
    </w:rPr>
  </w:style>
  <w:style w:type="character" w:styleId="ListLabel127">
    <w:name w:val="ListLabel 127"/>
    <w:qFormat/>
    <w:rPr>
      <w:rFonts w:cs="Courier New"/>
    </w:rPr>
  </w:style>
  <w:style w:type="character" w:styleId="ListLabel128">
    <w:name w:val="ListLabel 128"/>
    <w:qFormat/>
    <w:rPr>
      <w:rFonts w:cs="Wingdings"/>
    </w:rPr>
  </w:style>
  <w:style w:type="character" w:styleId="ListLabel129">
    <w:name w:val="ListLabel 129"/>
    <w:qFormat/>
    <w:rPr>
      <w:i/>
      <w:iCs/>
    </w:rPr>
  </w:style>
  <w:style w:type="character" w:styleId="ListLabel130">
    <w:name w:val="ListLabel 130"/>
    <w:qFormat/>
    <w:rPr>
      <w:i/>
    </w:rPr>
  </w:style>
  <w:style w:type="character" w:styleId="ListLabel131">
    <w:name w:val="ListLabel 131"/>
    <w:qFormat/>
    <w:rPr>
      <w:b/>
    </w:rPr>
  </w:style>
  <w:style w:type="character" w:styleId="ListLabel132">
    <w:name w:val="ListLabel 132"/>
    <w:qFormat/>
    <w:rPr>
      <w:rFonts w:cs="Courier New"/>
      <w:b/>
    </w:rPr>
  </w:style>
  <w:style w:type="character" w:styleId="ListLabel133">
    <w:name w:val="ListLabel 133"/>
    <w:qFormat/>
    <w:rPr>
      <w:rFonts w:cs="Wingdings"/>
    </w:rPr>
  </w:style>
  <w:style w:type="character" w:styleId="ListLabel134">
    <w:name w:val="ListLabel 134"/>
    <w:qFormat/>
    <w:rPr>
      <w:rFonts w:cs="Symbol"/>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i/>
      <w:iCs/>
    </w:rPr>
  </w:style>
  <w:style w:type="character" w:styleId="ListLabel141">
    <w:name w:val="ListLabel 141"/>
    <w:qFormat/>
    <w:rPr>
      <w:i/>
    </w:rPr>
  </w:style>
  <w:style w:type="character" w:styleId="ListLabel142">
    <w:name w:val="ListLabel 142"/>
    <w:qFormat/>
    <w:rPr>
      <w:b/>
    </w:rPr>
  </w:style>
  <w:style w:type="character" w:styleId="ListLabel143">
    <w:name w:val="ListLabel 143"/>
    <w:qFormat/>
    <w:rPr>
      <w:rFonts w:cs="Courier New"/>
      <w:b/>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i/>
      <w:iCs/>
    </w:rPr>
  </w:style>
  <w:style w:type="character" w:styleId="ListLabel152">
    <w:name w:val="ListLabel 152"/>
    <w:qFormat/>
    <w:rPr>
      <w:i/>
    </w:rPr>
  </w:style>
  <w:style w:type="character" w:styleId="ListLabel153">
    <w:name w:val="ListLabel 153"/>
    <w:qFormat/>
    <w:rPr>
      <w:b/>
    </w:rPr>
  </w:style>
  <w:style w:type="character" w:styleId="ListLabel154">
    <w:name w:val="ListLabel 154"/>
    <w:qFormat/>
    <w:rPr>
      <w:rFonts w:cs="Courier New"/>
      <w:b/>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i/>
      <w:iCs/>
    </w:rPr>
  </w:style>
  <w:style w:type="character" w:styleId="ListLabel163">
    <w:name w:val="ListLabel 163"/>
    <w:qFormat/>
    <w:rPr>
      <w:i/>
    </w:rPr>
  </w:style>
  <w:style w:type="character" w:styleId="ListLabel164">
    <w:name w:val="ListLabel 164"/>
    <w:qFormat/>
    <w:rPr>
      <w:b/>
    </w:rPr>
  </w:style>
  <w:style w:type="character" w:styleId="ListLabel165">
    <w:name w:val="ListLabel 165"/>
    <w:qFormat/>
    <w:rPr>
      <w:rFonts w:cs="Courier New"/>
      <w:b/>
    </w:rPr>
  </w:style>
  <w:style w:type="character" w:styleId="ListLabel166">
    <w:name w:val="ListLabel 166"/>
    <w:qFormat/>
    <w:rPr>
      <w:rFonts w:cs="Wingdings"/>
    </w:rPr>
  </w:style>
  <w:style w:type="character" w:styleId="ListLabel167">
    <w:name w:val="ListLabel 167"/>
    <w:qFormat/>
    <w:rPr>
      <w:rFonts w:cs="Symbol"/>
    </w:rPr>
  </w:style>
  <w:style w:type="character" w:styleId="ListLabel168">
    <w:name w:val="ListLabel 168"/>
    <w:qFormat/>
    <w:rPr>
      <w:rFonts w:cs="Courier New"/>
    </w:rPr>
  </w:style>
  <w:style w:type="character" w:styleId="ListLabel169">
    <w:name w:val="ListLabel 169"/>
    <w:qFormat/>
    <w:rPr>
      <w:rFonts w:cs="Wingdings"/>
    </w:rPr>
  </w:style>
  <w:style w:type="character" w:styleId="ListLabel170">
    <w:name w:val="ListLabel 170"/>
    <w:qFormat/>
    <w:rPr>
      <w:rFonts w:cs="Symbol"/>
    </w:rPr>
  </w:style>
  <w:style w:type="character" w:styleId="ListLabel171">
    <w:name w:val="ListLabel 171"/>
    <w:qFormat/>
    <w:rPr>
      <w:rFonts w:cs="Courier New"/>
    </w:rPr>
  </w:style>
  <w:style w:type="character" w:styleId="ListLabel172">
    <w:name w:val="ListLabel 172"/>
    <w:qFormat/>
    <w:rPr>
      <w:rFonts w:cs="Wingdings"/>
    </w:rPr>
  </w:style>
  <w:style w:type="character" w:styleId="ListLabel173">
    <w:name w:val="ListLabel 173"/>
    <w:qFormat/>
    <w:rPr>
      <w:i/>
      <w:iCs/>
    </w:rPr>
  </w:style>
  <w:style w:type="character" w:styleId="ListLabel174">
    <w:name w:val="ListLabel 174"/>
    <w:qFormat/>
    <w:rPr>
      <w:i/>
    </w:rPr>
  </w:style>
  <w:style w:type="character" w:styleId="ListLabel175">
    <w:name w:val="ListLabel 175"/>
    <w:qFormat/>
    <w:rPr>
      <w:b/>
    </w:rPr>
  </w:style>
  <w:style w:type="character" w:styleId="ListLabel176">
    <w:name w:val="ListLabel 176"/>
    <w:qFormat/>
    <w:rPr>
      <w:rFonts w:cs="Courier New"/>
      <w:b/>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i/>
      <w:iCs/>
    </w:rPr>
  </w:style>
  <w:style w:type="character" w:styleId="ListLabel185">
    <w:name w:val="ListLabel 185"/>
    <w:qFormat/>
    <w:rPr>
      <w:i/>
    </w:rPr>
  </w:style>
  <w:style w:type="character" w:styleId="ListLabel186">
    <w:name w:val="ListLabel 186"/>
    <w:qFormat/>
    <w:rPr>
      <w:b/>
    </w:rPr>
  </w:style>
  <w:style w:type="character" w:styleId="ListLabel187">
    <w:name w:val="ListLabel 187"/>
    <w:qFormat/>
    <w:rPr>
      <w:rFonts w:cs="Courier New"/>
      <w:b/>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i/>
      <w:iCs/>
    </w:rPr>
  </w:style>
  <w:style w:type="character" w:styleId="ListLabel196">
    <w:name w:val="ListLabel 196"/>
    <w:qFormat/>
    <w:rPr>
      <w:i/>
    </w:rPr>
  </w:style>
  <w:style w:type="character" w:styleId="ListLabel197">
    <w:name w:val="ListLabel 197"/>
    <w:qFormat/>
    <w:rPr>
      <w:b/>
    </w:rPr>
  </w:style>
  <w:style w:type="character" w:styleId="ListLabel198">
    <w:name w:val="ListLabel 198"/>
    <w:qFormat/>
    <w:rPr>
      <w:rFonts w:cs="Courier New"/>
      <w:b/>
    </w:rPr>
  </w:style>
  <w:style w:type="character" w:styleId="ListLabel199">
    <w:name w:val="ListLabel 199"/>
    <w:qFormat/>
    <w:rPr>
      <w:rFonts w:cs="Wingdings"/>
    </w:rPr>
  </w:style>
  <w:style w:type="character" w:styleId="ListLabel200">
    <w:name w:val="ListLabel 200"/>
    <w:qFormat/>
    <w:rPr>
      <w:rFonts w:cs="Symbol"/>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i/>
      <w:iCs/>
    </w:rPr>
  </w:style>
  <w:style w:type="character" w:styleId="ListLabel207">
    <w:name w:val="ListLabel 207"/>
    <w:qFormat/>
    <w:rPr>
      <w:i/>
    </w:rPr>
  </w:style>
  <w:style w:type="character" w:styleId="ListLabel208">
    <w:name w:val="ListLabel 208"/>
    <w:qFormat/>
    <w:rPr>
      <w:b/>
    </w:rPr>
  </w:style>
  <w:style w:type="character" w:styleId="ListLabel209">
    <w:name w:val="ListLabel 209"/>
    <w:qFormat/>
    <w:rPr>
      <w:rFonts w:cs="Courier New"/>
      <w:b/>
    </w:rPr>
  </w:style>
  <w:style w:type="character" w:styleId="ListLabel210">
    <w:name w:val="ListLabel 210"/>
    <w:qFormat/>
    <w:rPr>
      <w:rFonts w:cs="Wingdings"/>
    </w:rPr>
  </w:style>
  <w:style w:type="character" w:styleId="ListLabel211">
    <w:name w:val="ListLabel 211"/>
    <w:qFormat/>
    <w:rPr>
      <w:rFonts w:cs="Symbol"/>
    </w:rPr>
  </w:style>
  <w:style w:type="character" w:styleId="ListLabel212">
    <w:name w:val="ListLabel 212"/>
    <w:qFormat/>
    <w:rPr>
      <w:rFonts w:cs="Courier New"/>
    </w:rPr>
  </w:style>
  <w:style w:type="character" w:styleId="ListLabel213">
    <w:name w:val="ListLabel 213"/>
    <w:qFormat/>
    <w:rPr>
      <w:rFonts w:cs="Wingdings"/>
    </w:rPr>
  </w:style>
  <w:style w:type="character" w:styleId="ListLabel214">
    <w:name w:val="ListLabel 214"/>
    <w:qFormat/>
    <w:rPr>
      <w:rFonts w:cs="Symbol"/>
    </w:rPr>
  </w:style>
  <w:style w:type="character" w:styleId="ListLabel215">
    <w:name w:val="ListLabel 215"/>
    <w:qFormat/>
    <w:rPr>
      <w:rFonts w:cs="Courier New"/>
    </w:rPr>
  </w:style>
  <w:style w:type="character" w:styleId="ListLabel216">
    <w:name w:val="ListLabel 216"/>
    <w:qFormat/>
    <w:rPr>
      <w:rFonts w:cs="Wingdings"/>
    </w:rPr>
  </w:style>
  <w:style w:type="character" w:styleId="ListLabel217">
    <w:name w:val="ListLabel 217"/>
    <w:qFormat/>
    <w:rPr>
      <w:i/>
      <w:iCs/>
    </w:rPr>
  </w:style>
  <w:style w:type="character" w:styleId="ListLabel218">
    <w:name w:val="ListLabel 218"/>
    <w:qFormat/>
    <w:rPr>
      <w:i/>
    </w:rPr>
  </w:style>
  <w:style w:type="character" w:styleId="ListLabel219">
    <w:name w:val="ListLabel 219"/>
    <w:qFormat/>
    <w:rPr>
      <w:b/>
    </w:rPr>
  </w:style>
  <w:style w:type="character" w:styleId="ListLabel220">
    <w:name w:val="ListLabel 220"/>
    <w:qFormat/>
    <w:rPr>
      <w:rFonts w:cs="Courier New"/>
      <w:b/>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i/>
      <w:iCs/>
    </w:rPr>
  </w:style>
  <w:style w:type="character" w:styleId="ListLabel229">
    <w:name w:val="ListLabel 229"/>
    <w:qFormat/>
    <w:rPr>
      <w:i/>
    </w:rPr>
  </w:style>
  <w:style w:type="character" w:styleId="ListLabel230">
    <w:name w:val="ListLabel 230"/>
    <w:qFormat/>
    <w:rPr>
      <w:b/>
    </w:rPr>
  </w:style>
  <w:style w:type="character" w:styleId="ListLabel231">
    <w:name w:val="ListLabel 231"/>
    <w:qFormat/>
    <w:rPr>
      <w:rFonts w:cs="Courier New"/>
      <w:b/>
    </w:rPr>
  </w:style>
  <w:style w:type="character" w:styleId="ListLabel232">
    <w:name w:val="ListLabel 232"/>
    <w:qFormat/>
    <w:rPr>
      <w:rFonts w:cs="Wingdings"/>
    </w:rPr>
  </w:style>
  <w:style w:type="character" w:styleId="ListLabel233">
    <w:name w:val="ListLabel 233"/>
    <w:qFormat/>
    <w:rPr>
      <w:rFonts w:cs="Symbol"/>
    </w:rPr>
  </w:style>
  <w:style w:type="character" w:styleId="ListLabel234">
    <w:name w:val="ListLabel 234"/>
    <w:qFormat/>
    <w:rPr>
      <w:rFonts w:cs="Courier New"/>
    </w:rPr>
  </w:style>
  <w:style w:type="character" w:styleId="ListLabel235">
    <w:name w:val="ListLabel 235"/>
    <w:qFormat/>
    <w:rPr>
      <w:rFonts w:cs="Wingdings"/>
    </w:rPr>
  </w:style>
  <w:style w:type="character" w:styleId="ListLabel236">
    <w:name w:val="ListLabel 236"/>
    <w:qFormat/>
    <w:rPr>
      <w:rFonts w:cs="Symbol"/>
    </w:rPr>
  </w:style>
  <w:style w:type="character" w:styleId="ListLabel237">
    <w:name w:val="ListLabel 237"/>
    <w:qFormat/>
    <w:rPr>
      <w:rFonts w:cs="Courier New"/>
    </w:rPr>
  </w:style>
  <w:style w:type="character" w:styleId="ListLabel238">
    <w:name w:val="ListLabel 238"/>
    <w:qFormat/>
    <w:rPr>
      <w:rFonts w:cs="Wingdings"/>
    </w:rPr>
  </w:style>
  <w:style w:type="character" w:styleId="ListLabel239">
    <w:name w:val="ListLabel 239"/>
    <w:qFormat/>
    <w:rPr>
      <w:i/>
      <w:iCs/>
    </w:rPr>
  </w:style>
  <w:style w:type="character" w:styleId="ListLabel240">
    <w:name w:val="ListLabel 240"/>
    <w:qFormat/>
    <w:rPr>
      <w:i/>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1b7988"/>
    <w:pPr/>
    <w:rPr>
      <w:rFonts w:ascii="Tahoma" w:hAnsi="Tahoma" w:cs="Tahoma"/>
      <w:sz w:val="16"/>
      <w:szCs w:val="16"/>
    </w:rPr>
  </w:style>
  <w:style w:type="paragraph" w:styleId="Title">
    <w:name w:val="Title"/>
    <w:basedOn w:val="Normal"/>
    <w:next w:val="Normal"/>
    <w:link w:val="TitleChar"/>
    <w:uiPriority w:val="10"/>
    <w:qFormat/>
    <w:rsid w:val="006f4838"/>
    <w:pPr>
      <w:spacing w:before="120" w:after="300"/>
      <w:contextualSpacing/>
      <w:jc w:val="center"/>
    </w:pPr>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paragraph" w:styleId="Section" w:customStyle="1">
    <w:name w:val="Section"/>
    <w:basedOn w:val="Heading1"/>
    <w:next w:val="Normal"/>
    <w:uiPriority w:val="1"/>
    <w:qFormat/>
    <w:rsid w:val="00ba7d72"/>
    <w:pPr>
      <w:numPr>
        <w:ilvl w:val="0"/>
        <w:numId w:val="0"/>
      </w:numPr>
    </w:pPr>
    <w:rPr>
      <w:b w:val="false"/>
      <w:color w:val="4F81BD" w:themeColor="accent1"/>
      <w:sz w:val="32"/>
    </w:rPr>
  </w:style>
  <w:style w:type="paragraph" w:styleId="Header">
    <w:name w:val="Header"/>
    <w:basedOn w:val="Normal"/>
    <w:link w:val="HeaderChar"/>
    <w:uiPriority w:val="99"/>
    <w:unhideWhenUsed/>
    <w:rsid w:val="00664493"/>
    <w:pPr>
      <w:tabs>
        <w:tab w:val="center" w:pos="4680" w:leader="none"/>
        <w:tab w:val="right" w:pos="9360" w:leader="none"/>
      </w:tabs>
    </w:pPr>
    <w:rPr/>
  </w:style>
  <w:style w:type="paragraph" w:styleId="AssumptionID" w:customStyle="1">
    <w:name w:val="AssumptionID"/>
    <w:basedOn w:val="Normal"/>
    <w:uiPriority w:val="1"/>
    <w:qFormat/>
    <w:rsid w:val="00a529e5"/>
    <w:pPr/>
    <w:rPr/>
  </w:style>
  <w:style w:type="paragraph" w:styleId="ListParagraph">
    <w:name w:val="List Paragraph"/>
    <w:basedOn w:val="Normal"/>
    <w:uiPriority w:val="34"/>
    <w:qFormat/>
    <w:rsid w:val="00235726"/>
    <w:pPr>
      <w:spacing w:before="120" w:after="0"/>
      <w:ind w:left="567" w:hanging="141"/>
      <w:contextualSpacing/>
    </w:pPr>
    <w:rPr/>
  </w:style>
  <w:style w:type="paragraph" w:styleId="Footer">
    <w:name w:val="Footer"/>
    <w:basedOn w:val="Normal"/>
    <w:link w:val="FooterChar"/>
    <w:uiPriority w:val="99"/>
    <w:unhideWhenUsed/>
    <w:rsid w:val="00664493"/>
    <w:pPr>
      <w:tabs>
        <w:tab w:val="center" w:pos="4680" w:leader="none"/>
        <w:tab w:val="right" w:pos="9360" w:leader="none"/>
      </w:tabs>
    </w:pPr>
    <w:rPr/>
  </w:style>
  <w:style w:type="paragraph" w:styleId="CostQFStyle" w:customStyle="1">
    <w:name w:val="Cost QF Style"/>
    <w:basedOn w:val="Normal"/>
    <w:next w:val="Normal"/>
    <w:uiPriority w:val="1"/>
    <w:qFormat/>
    <w:rsid w:val="008b4ed7"/>
    <w:pPr/>
    <w:rPr/>
  </w:style>
  <w:style w:type="paragraph" w:styleId="PBSItem" w:customStyle="1">
    <w:name w:val="PBS Item"/>
    <w:next w:val="Normal"/>
    <w:uiPriority w:val="1"/>
    <w:qFormat/>
    <w:rsid w:val="006d4e6b"/>
    <w:pPr>
      <w:widowControl/>
      <w:bidi w:val="0"/>
      <w:spacing w:before="120" w:after="0"/>
      <w:jc w:val="left"/>
    </w:pPr>
    <w:rPr>
      <w:rFonts w:ascii="Calibri" w:hAnsi="Calibri" w:eastAsia="Calibri" w:cs="" w:asciiTheme="minorHAnsi" w:cstheme="minorBidi" w:eastAsiaTheme="minorHAnsi" w:hAnsiTheme="minorHAnsi"/>
      <w:b/>
      <w:color w:val="auto"/>
      <w:kern w:val="0"/>
      <w:sz w:val="24"/>
      <w:szCs w:val="24"/>
      <w:lang w:val="en-US" w:eastAsia="en-US" w:bidi="ar-SA"/>
    </w:rPr>
  </w:style>
  <w:style w:type="paragraph" w:styleId="Annotationtext">
    <w:name w:val="annotation text"/>
    <w:basedOn w:val="Normal"/>
    <w:link w:val="CommentTextChar"/>
    <w:uiPriority w:val="99"/>
    <w:semiHidden/>
    <w:unhideWhenUsed/>
    <w:qFormat/>
    <w:rsid w:val="00db7a25"/>
    <w:pPr/>
    <w:rPr/>
  </w:style>
  <w:style w:type="paragraph" w:styleId="Annotationsubject">
    <w:name w:val="annotation subject"/>
    <w:basedOn w:val="Annotationtext"/>
    <w:link w:val="CommentSubjectChar"/>
    <w:uiPriority w:val="99"/>
    <w:semiHidden/>
    <w:unhideWhenUsed/>
    <w:qFormat/>
    <w:rsid w:val="00a866ca"/>
    <w:pPr/>
    <w:rPr>
      <w:b/>
      <w:bCs/>
      <w:sz w:val="20"/>
      <w:szCs w:val="20"/>
    </w:rPr>
  </w:style>
  <w:style w:type="paragraph" w:styleId="NormalWeb">
    <w:name w:val="Normal (Web)"/>
    <w:basedOn w:val="Normal"/>
    <w:uiPriority w:val="99"/>
    <w:semiHidden/>
    <w:unhideWhenUsed/>
    <w:qFormat/>
    <w:rsid w:val="004b40de"/>
    <w:pPr>
      <w:widowControl/>
      <w:spacing w:beforeAutospacing="1" w:afterAutospacing="1"/>
      <w:jc w:val="left"/>
    </w:pPr>
    <w:rPr>
      <w:rFonts w:ascii="Times New Roman" w:hAnsi="Times New Roman" w:cs="Times New Roman"/>
    </w:rPr>
  </w:style>
  <w:style w:type="paragraph" w:styleId="Caption1">
    <w:name w:val="caption"/>
    <w:basedOn w:val="Normal"/>
    <w:next w:val="Normal"/>
    <w:uiPriority w:val="35"/>
    <w:unhideWhenUsed/>
    <w:qFormat/>
    <w:rsid w:val="00ef34b3"/>
    <w:pPr>
      <w:spacing w:before="0" w:after="200"/>
    </w:pPr>
    <w:rPr>
      <w:i/>
      <w:iCs/>
      <w:color w:val="1F497D" w:themeColor="text2"/>
      <w:sz w:val="18"/>
      <w:szCs w:val="18"/>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numbering" w:styleId="CurrentList1" w:customStyle="1">
    <w:name w:val="Current List1"/>
    <w:uiPriority w:val="99"/>
    <w:qFormat/>
    <w:rsid w:val="00a45cda"/>
  </w:style>
  <w:style w:type="numbering" w:styleId="OutlineList3">
    <w:name w:val="Outline List 3"/>
    <w:uiPriority w:val="99"/>
    <w:semiHidden/>
    <w:unhideWhenUsed/>
    <w:qFormat/>
    <w:rsid w:val="00214c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8716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1">
    <w:name w:val="Plain Table 1"/>
    <w:basedOn w:val="TableNormal"/>
    <w:uiPriority w:val="41"/>
    <w:rsid w:val="00351b25"/>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customXml" Target="../customXml/item2.xml"/><Relationship Id="rId9" Type="http://schemas.openxmlformats.org/officeDocument/2006/relationships/customXml" Target="../customXml/item3.xml"/><Relationship Id="rId1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1AFF987B-3D6E-5A45-8783-DC104F538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1.dotx</Template>
  <TotalTime>250</TotalTime>
  <Application>LibreOffice/6.0.7.3.0$Linux_X86_64 LibreOffice_project/00$Build-3</Application>
  <Pages>5</Pages>
  <Words>1630</Words>
  <Characters>9133</Characters>
  <CharactersWithSpaces>10673</CharactersWithSpaces>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2019-12-17T19:56:44Z</dcterms:created>
  <dc:creator>Roberto Ferrari</dc:creator>
  <dc:description/>
  <dc:language>en-US</dc:language>
  <cp:lastModifiedBy>Roberto Ferrari</cp:lastModifiedBy>
  <dcterms:modified xsi:type="dcterms:W3CDTF">2021-01-13T09:21:22Z</dcterms:modified>
  <cp:revision>26</cp:revision>
  <dc:subject>Dual-readout Calorimeter</dc:subject>
  <dc:title>CEPC Detector R&amp;D Project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0x010100EF681FE7E2278747BA42046441F3CDD3</vt:lpwstr>
  </property>
  <property fmtid="{D5CDD505-2E9C-101B-9397-08002B2CF9AE}" pid="4" name="Created">
    <vt:lpwstr>13/06/2017</vt:lpwstr>
  </property>
  <property fmtid="{D5CDD505-2E9C-101B-9397-08002B2CF9AE}" pid="5" name="DocSecurity">
    <vt:i4>0</vt:i4>
  </property>
  <property fmtid="{D5CDD505-2E9C-101B-9397-08002B2CF9AE}" pid="6" name="Document number">
    <vt:i4>0</vt:i4>
  </property>
  <property fmtid="{D5CDD505-2E9C-101B-9397-08002B2CF9AE}" pid="7" name="HyperlinksChanged">
    <vt:bool>0</vt:bool>
  </property>
  <property fmtid="{D5CDD505-2E9C-101B-9397-08002B2CF9AE}" pid="8" name="LastSaved">
    <vt:lpwstr>21/10/2015</vt:lpwstr>
  </property>
  <property fmtid="{D5CDD505-2E9C-101B-9397-08002B2CF9AE}" pid="9" name="LinksUpToDate">
    <vt:bool>0</vt:bool>
  </property>
  <property fmtid="{D5CDD505-2E9C-101B-9397-08002B2CF9AE}" pid="10" name="PBS">
    <vt:lpwstr>3.3</vt:lpwstr>
  </property>
  <property fmtid="{D5CDD505-2E9C-101B-9397-08002B2CF9AE}" pid="11" name="Project">
    <vt:lpwstr>CEPC Detector WG</vt:lpwstr>
  </property>
  <property fmtid="{D5CDD505-2E9C-101B-9397-08002B2CF9AE}" pid="12" name="ScaleCrop">
    <vt:bool>0</vt:bool>
  </property>
  <property fmtid="{D5CDD505-2E9C-101B-9397-08002B2CF9AE}" pid="13" name="ShareDoc">
    <vt:bool>0</vt:bool>
  </property>
</Properties>
</file>