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F1EA" w14:textId="609EAB98" w:rsidR="000718FC" w:rsidRPr="00065D73" w:rsidRDefault="000718FC" w:rsidP="009D197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117774705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Temperature-forced Runoff Changes in arid areas of Central Asia</w:t>
      </w:r>
      <w:r w:rsidRPr="00065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Inferred </w:t>
      </w:r>
      <w:r w:rsidRPr="00065D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F</w:t>
      </w:r>
      <w:r w:rsidRPr="00065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rom </w:t>
      </w:r>
      <w:r w:rsidRPr="00065D73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10</w:t>
      </w:r>
      <w:r w:rsidRPr="00065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Be Exposure Ages </w:t>
      </w:r>
      <w:r w:rsidRPr="00065D73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o</w:t>
      </w:r>
      <w:r w:rsidRPr="00065D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 River Terraces</w:t>
      </w:r>
    </w:p>
    <w:bookmarkEnd w:id="0"/>
    <w:p w14:paraId="31824532" w14:textId="3A8A51A4" w:rsidR="000718FC" w:rsidRPr="00065D73" w:rsidRDefault="000718FC" w:rsidP="009D1972">
      <w:pPr>
        <w:widowControl/>
        <w:spacing w:before="120" w:after="360"/>
        <w:jc w:val="center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</w:pP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Bing Xu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1,2,3*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, Zhaoyan Gu</w:t>
      </w:r>
      <w:bookmarkStart w:id="1" w:name="_Hlk118282480"/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1,2,3</w:t>
      </w:r>
      <w:bookmarkEnd w:id="1"/>
      <w:r w:rsidRPr="00065D73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，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Yanwu Lv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 xml:space="preserve">4, </w:t>
      </w:r>
      <w:r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†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, Junjie Zhang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1, 2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 xml:space="preserve">, </w:t>
      </w:r>
      <w:r w:rsidR="007806EA"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Qingzhen Hao</w:t>
      </w:r>
      <w:r w:rsidR="007806EA"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1,2,3</w:t>
      </w:r>
      <w:r w:rsidR="007806EA"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,</w:t>
      </w:r>
      <w:r w:rsidR="007806EA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 xml:space="preserve"> 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Xiaona Guo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1,2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en-US"/>
        </w:rPr>
        <w:t>, Longkang Li</w:t>
      </w:r>
      <w:r w:rsidRPr="00065D73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vertAlign w:val="superscript"/>
          <w:lang w:eastAsia="en-US"/>
        </w:rPr>
        <w:t>1,2</w:t>
      </w:r>
    </w:p>
    <w:p w14:paraId="6DA568ED" w14:textId="77777777" w:rsidR="000718FC" w:rsidRPr="00065D73" w:rsidRDefault="000718FC" w:rsidP="009D1972">
      <w:pPr>
        <w:widowControl/>
        <w:spacing w:before="120"/>
        <w:jc w:val="left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</w:pP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vertAlign w:val="superscript"/>
          <w:lang w:eastAsia="en-US"/>
        </w:rPr>
        <w:t>1</w:t>
      </w: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  <w:t>Key Laboratory of Cenozoic Geology and Environment, Institute of Geology and Geophysics, Chinese Academy of Sciences</w:t>
      </w:r>
      <w:r w:rsidRPr="00065D73">
        <w:rPr>
          <w:rFonts w:ascii="Times New Roman" w:eastAsia="宋体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 xml:space="preserve">, </w:t>
      </w: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  <w:t>Beijing 100029, China</w:t>
      </w:r>
    </w:p>
    <w:p w14:paraId="7DB73D29" w14:textId="77777777" w:rsidR="000718FC" w:rsidRPr="00065D73" w:rsidRDefault="000718FC" w:rsidP="009D1972">
      <w:pPr>
        <w:widowControl/>
        <w:spacing w:before="120"/>
        <w:jc w:val="left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</w:pP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vertAlign w:val="superscript"/>
          <w:lang w:eastAsia="en-US"/>
        </w:rPr>
        <w:t>2</w:t>
      </w: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  <w:t>University of Chinese Academy of Sciences, Beijing 100049, China</w:t>
      </w:r>
    </w:p>
    <w:p w14:paraId="79B251D7" w14:textId="77777777" w:rsidR="000718FC" w:rsidRPr="00065D73" w:rsidRDefault="000718FC" w:rsidP="009D1972">
      <w:pPr>
        <w:widowControl/>
        <w:spacing w:before="120"/>
        <w:jc w:val="left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</w:pP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vertAlign w:val="superscript"/>
          <w:lang w:eastAsia="en-US"/>
        </w:rPr>
        <w:t>3</w:t>
      </w: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  <w:t>CAS Center for Excellence in Life and Paleoenvironment, Beijing 100044, China</w:t>
      </w:r>
    </w:p>
    <w:p w14:paraId="48FAA05D" w14:textId="77777777" w:rsidR="000718FC" w:rsidRPr="00065D73" w:rsidRDefault="000718FC" w:rsidP="009D1972">
      <w:pPr>
        <w:widowControl/>
        <w:spacing w:before="120"/>
        <w:jc w:val="left"/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</w:pP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vertAlign w:val="superscript"/>
          <w:lang w:eastAsia="en-US"/>
        </w:rPr>
        <w:t>4</w:t>
      </w:r>
      <w:r w:rsidRPr="00065D73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  <w:lang w:eastAsia="en-US"/>
        </w:rPr>
        <w:t>National Institute of Natural Hazards, Beijing 10085, China</w:t>
      </w:r>
    </w:p>
    <w:p w14:paraId="28FF22AC" w14:textId="77777777" w:rsidR="000718FC" w:rsidRPr="00065D73" w:rsidRDefault="000718FC" w:rsidP="009D1972">
      <w:pPr>
        <w:spacing w:before="240"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D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14:paraId="5EE1EF4F" w14:textId="2DC80755" w:rsidR="000718FC" w:rsidRPr="00065D73" w:rsidRDefault="007E5719" w:rsidP="009D197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OLE_LINK3"/>
      <w:r w:rsidRPr="007E5719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Understanding the hydrological changes on context of global warming is of special significance for the security and sustainable development in vast arid areas of Central Asia.</w:t>
      </w:r>
      <w:r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718FC" w:rsidRPr="00065D73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The sustainability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bookmarkStart w:id="3" w:name="OLE_LINK6"/>
      <w:bookmarkStart w:id="4" w:name="OLE_LINK7"/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river </w:t>
      </w:r>
      <w:bookmarkEnd w:id="3"/>
      <w:bookmarkEnd w:id="4"/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runoff, as the major freshwater source in arid Central Asia,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 of special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concerns because millions of people </w:t>
      </w:r>
      <w:r w:rsidR="000718FC" w:rsidRPr="00065D73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suffer from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water stress. However, our understanding of the freshwater mechanisms in </w:t>
      </w:r>
      <w:r w:rsidR="00071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arid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Central Asia has been limited by the paucity of long-term records and </w:t>
      </w:r>
      <w:r w:rsidR="000718FC" w:rsidRPr="00065D73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inconsistency of available information. Here, we reconstructed the first and longest record of freshwater supply in Central Asia</w:t>
      </w:r>
      <w:r w:rsidR="000718FC" w:rsidRPr="00065D73">
        <w:rPr>
          <w:bCs/>
          <w:color w:val="000000" w:themeColor="text1"/>
        </w:rPr>
        <w:t xml:space="preserve">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river terrace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10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 exposure ages</w:t>
      </w:r>
      <w:r w:rsidR="00071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Tarim Basin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These exposure ages, integrating with the chronological data of the river terraces and the 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10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 exposure ages of the moraines across Central Asia, provide a deep insight into the hydrology dynamics of Central Asia.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results show that the river terraces are developed through erosion and incision of the alluvial deposits by high river power, and thus the 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10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 exposure ages indicate the periods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high river power. The 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high river runoff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corresponded to </w:t>
      </w:r>
      <w:r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alpine glacier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expansions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1797" w:rsidRPr="007E57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Central Asia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indicating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meltwater is the dominant source of 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freshwater in Central Asia. The high river runoff displayed a close link to low temperatures on both orbital and millennial time scales during the past 280 ka, indicating that </w:t>
      </w:r>
      <w:r w:rsidR="000718FC" w:rsidRPr="00065D7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the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low temperature, rather than increased </w:t>
      </w:r>
      <w:r w:rsidR="000718FC" w:rsidRPr="00065D73">
        <w:rPr>
          <w:rFonts w:ascii="Times New Roman" w:eastAsia="等线" w:hAnsi="Times New Roman" w:cs="Times New Roman"/>
          <w:bCs/>
          <w:color w:val="000000" w:themeColor="text1"/>
          <w:sz w:val="24"/>
          <w:szCs w:val="24"/>
        </w:rPr>
        <w:t>precipitation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 meltwater associated with global warming, drove the freshwater supply in Central Asia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All these lines of evidence </w:t>
      </w:r>
      <w:r w:rsidR="00FC1797" w:rsidRP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suggest that 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both </w:t>
      </w:r>
      <w:r w:rsidR="00FC1797" w:rsidRP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river discharges and alpine glaciers as water reservoirs would decrease in the future with global warming in arid Central Asia</w:t>
      </w:r>
      <w:r w:rsidR="00FC17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implying an increasing water crisis with global warming</w:t>
      </w:r>
      <w:bookmarkEnd w:id="2"/>
      <w:r w:rsidR="000718FC" w:rsidRPr="00065D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future.</w:t>
      </w:r>
    </w:p>
    <w:p w14:paraId="0E698737" w14:textId="77777777" w:rsidR="00F5437D" w:rsidRDefault="00F5437D"/>
    <w:sectPr w:rsidR="00F5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A4AC" w14:textId="77777777" w:rsidR="00400EB3" w:rsidRDefault="00400EB3" w:rsidP="007806EA">
      <w:r>
        <w:separator/>
      </w:r>
    </w:p>
  </w:endnote>
  <w:endnote w:type="continuationSeparator" w:id="0">
    <w:p w14:paraId="0AFD5A89" w14:textId="77777777" w:rsidR="00400EB3" w:rsidRDefault="00400EB3" w:rsidP="007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3221" w14:textId="77777777" w:rsidR="00400EB3" w:rsidRDefault="00400EB3" w:rsidP="007806EA">
      <w:r>
        <w:separator/>
      </w:r>
    </w:p>
  </w:footnote>
  <w:footnote w:type="continuationSeparator" w:id="0">
    <w:p w14:paraId="2651047E" w14:textId="77777777" w:rsidR="00400EB3" w:rsidRDefault="00400EB3" w:rsidP="0078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FC"/>
    <w:rsid w:val="000718FC"/>
    <w:rsid w:val="00137AFD"/>
    <w:rsid w:val="00400EB3"/>
    <w:rsid w:val="007806EA"/>
    <w:rsid w:val="007E5719"/>
    <w:rsid w:val="009D1972"/>
    <w:rsid w:val="00F5437D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15F83"/>
  <w15:chartTrackingRefBased/>
  <w15:docId w15:val="{CA87BD8C-BA96-4FFD-8470-A1BD670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8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6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6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许</dc:creator>
  <cp:keywords/>
  <dc:description/>
  <cp:lastModifiedBy>冰 许</cp:lastModifiedBy>
  <cp:revision>3</cp:revision>
  <cp:lastPrinted>2023-09-13T05:41:00Z</cp:lastPrinted>
  <dcterms:created xsi:type="dcterms:W3CDTF">2023-09-13T05:38:00Z</dcterms:created>
  <dcterms:modified xsi:type="dcterms:W3CDTF">2023-09-13T06:13:00Z</dcterms:modified>
</cp:coreProperties>
</file>