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42F66" w14:textId="77741A4C" w:rsidR="00453BF1" w:rsidRDefault="00453BF1" w:rsidP="00881850">
      <w:pPr>
        <w:snapToGrid w:val="0"/>
        <w:jc w:val="right"/>
        <w:rPr>
          <w:sz w:val="16"/>
          <w:szCs w:val="18"/>
        </w:rPr>
      </w:pPr>
      <w:r>
        <w:rPr>
          <w:sz w:val="16"/>
          <w:szCs w:val="18"/>
        </w:rPr>
        <w:fldChar w:fldCharType="begin"/>
      </w:r>
      <w:r>
        <w:rPr>
          <w:sz w:val="16"/>
          <w:szCs w:val="18"/>
        </w:rPr>
        <w:instrText xml:space="preserve"> FILENAME  \* MERGEFORMAT </w:instrText>
      </w:r>
      <w:r>
        <w:rPr>
          <w:sz w:val="16"/>
          <w:szCs w:val="18"/>
        </w:rPr>
        <w:fldChar w:fldCharType="separate"/>
      </w:r>
      <w:r w:rsidR="00610BF8">
        <w:rPr>
          <w:noProof/>
          <w:sz w:val="16"/>
          <w:szCs w:val="18"/>
        </w:rPr>
        <w:t>ACFAHEP-bylaws-V1-2may2024.docx</w:t>
      </w:r>
      <w:r>
        <w:rPr>
          <w:sz w:val="16"/>
          <w:szCs w:val="18"/>
        </w:rPr>
        <w:fldChar w:fldCharType="end"/>
      </w:r>
    </w:p>
    <w:p w14:paraId="163B1DA6" w14:textId="1A3C92B0" w:rsidR="00881850" w:rsidRPr="00881850" w:rsidRDefault="00881850" w:rsidP="00881850">
      <w:pPr>
        <w:snapToGrid w:val="0"/>
        <w:jc w:val="right"/>
        <w:rPr>
          <w:sz w:val="16"/>
          <w:szCs w:val="18"/>
        </w:rPr>
      </w:pPr>
      <w:r w:rsidRPr="00881850">
        <w:rPr>
          <w:sz w:val="16"/>
          <w:szCs w:val="18"/>
        </w:rPr>
        <w:t>Versi</w:t>
      </w:r>
      <w:r w:rsidRPr="00881850">
        <w:rPr>
          <w:sz w:val="16"/>
          <w:szCs w:val="18"/>
        </w:rPr>
        <w:fldChar w:fldCharType="begin"/>
      </w:r>
      <w:r w:rsidRPr="00881850">
        <w:rPr>
          <w:sz w:val="16"/>
          <w:szCs w:val="18"/>
        </w:rPr>
        <w:instrText xml:space="preserve"> DATE  \* MERGEFORMAT </w:instrText>
      </w:r>
      <w:r w:rsidRPr="00881850">
        <w:rPr>
          <w:sz w:val="16"/>
          <w:szCs w:val="18"/>
        </w:rPr>
        <w:fldChar w:fldCharType="separate"/>
      </w:r>
      <w:r w:rsidRPr="00881850">
        <w:rPr>
          <w:sz w:val="16"/>
          <w:szCs w:val="18"/>
        </w:rPr>
        <w:fldChar w:fldCharType="end"/>
      </w:r>
      <w:r w:rsidRPr="00881850">
        <w:rPr>
          <w:sz w:val="16"/>
          <w:szCs w:val="18"/>
        </w:rPr>
        <w:t>on 1.0</w:t>
      </w:r>
    </w:p>
    <w:p w14:paraId="0972C561" w14:textId="26EC8623" w:rsidR="00881850" w:rsidRPr="00881850" w:rsidRDefault="00881850" w:rsidP="00881850">
      <w:pPr>
        <w:snapToGrid w:val="0"/>
        <w:jc w:val="right"/>
        <w:rPr>
          <w:sz w:val="16"/>
          <w:szCs w:val="18"/>
        </w:rPr>
      </w:pPr>
      <w:r w:rsidRPr="00881850">
        <w:rPr>
          <w:sz w:val="16"/>
          <w:szCs w:val="18"/>
        </w:rPr>
        <w:fldChar w:fldCharType="begin"/>
      </w:r>
      <w:r w:rsidRPr="00881850">
        <w:rPr>
          <w:sz w:val="16"/>
          <w:szCs w:val="18"/>
        </w:rPr>
        <w:instrText xml:space="preserve"> DATE  \* MERGEFORMAT </w:instrText>
      </w:r>
      <w:r w:rsidRPr="00881850">
        <w:rPr>
          <w:sz w:val="16"/>
          <w:szCs w:val="18"/>
        </w:rPr>
        <w:fldChar w:fldCharType="separate"/>
      </w:r>
      <w:r w:rsidRPr="00881850">
        <w:rPr>
          <w:sz w:val="16"/>
          <w:szCs w:val="18"/>
        </w:rPr>
        <w:t>5/2/24</w:t>
      </w:r>
      <w:r w:rsidRPr="00881850">
        <w:rPr>
          <w:sz w:val="16"/>
          <w:szCs w:val="18"/>
        </w:rPr>
        <w:fldChar w:fldCharType="end"/>
      </w:r>
    </w:p>
    <w:p w14:paraId="7EE91C62" w14:textId="12F057CF" w:rsidR="00881850" w:rsidRPr="00B40D0F" w:rsidRDefault="00881850" w:rsidP="00881850">
      <w:pPr>
        <w:jc w:val="center"/>
        <w:rPr>
          <w:u w:val="single"/>
        </w:rPr>
      </w:pPr>
      <w:r w:rsidRPr="00B40D0F">
        <w:rPr>
          <w:u w:val="single"/>
        </w:rPr>
        <w:t>By</w:t>
      </w:r>
      <w:r w:rsidR="001F5CC0">
        <w:rPr>
          <w:u w:val="single"/>
        </w:rPr>
        <w:t>-l</w:t>
      </w:r>
      <w:r w:rsidRPr="00B40D0F">
        <w:rPr>
          <w:u w:val="single"/>
        </w:rPr>
        <w:t>aws</w:t>
      </w:r>
    </w:p>
    <w:p w14:paraId="6B467185" w14:textId="374C230B" w:rsidR="00881850" w:rsidRDefault="00881850" w:rsidP="00881850">
      <w:pPr>
        <w:jc w:val="center"/>
      </w:pPr>
      <w:r>
        <w:t xml:space="preserve">of the </w:t>
      </w:r>
    </w:p>
    <w:p w14:paraId="468136D2" w14:textId="363E1BB3" w:rsidR="00136B4D" w:rsidRPr="00453BF1" w:rsidRDefault="00CB5A51" w:rsidP="00881850">
      <w:pPr>
        <w:jc w:val="center"/>
        <w:rPr>
          <w:u w:val="single"/>
        </w:rPr>
      </w:pPr>
      <w:r w:rsidRPr="00453BF1">
        <w:rPr>
          <w:rFonts w:hint="eastAsia"/>
          <w:u w:val="single"/>
        </w:rPr>
        <w:t xml:space="preserve">HEP </w:t>
      </w:r>
      <w:r w:rsidR="00881850" w:rsidRPr="00453BF1">
        <w:rPr>
          <w:u w:val="single"/>
        </w:rPr>
        <w:t>Subgroup of ACFA (</w:t>
      </w:r>
      <w:r w:rsidR="00610BF8">
        <w:rPr>
          <w:u w:val="single"/>
        </w:rPr>
        <w:t>“</w:t>
      </w:r>
      <w:r w:rsidR="00881850" w:rsidRPr="00453BF1">
        <w:rPr>
          <w:u w:val="single"/>
        </w:rPr>
        <w:t>ACFA-HEP</w:t>
      </w:r>
      <w:r w:rsidR="00610BF8">
        <w:rPr>
          <w:u w:val="single"/>
        </w:rPr>
        <w:t>”</w:t>
      </w:r>
      <w:r w:rsidR="00881850" w:rsidRPr="00453BF1">
        <w:rPr>
          <w:u w:val="single"/>
        </w:rPr>
        <w:t>)</w:t>
      </w:r>
    </w:p>
    <w:p w14:paraId="21080D1E" w14:textId="77777777" w:rsidR="00CB5A51" w:rsidRDefault="00CB5A51"/>
    <w:p w14:paraId="12D1069E" w14:textId="35DA47AB" w:rsidR="00CB5A51" w:rsidRDefault="00CB5A51" w:rsidP="00CB5A51">
      <w:pPr>
        <w:pStyle w:val="ListParagraph"/>
        <w:numPr>
          <w:ilvl w:val="0"/>
          <w:numId w:val="1"/>
        </w:numPr>
      </w:pPr>
      <w:r>
        <w:t>Definition</w:t>
      </w:r>
      <w:r>
        <w:rPr>
          <w:rFonts w:hint="eastAsia"/>
        </w:rPr>
        <w:t xml:space="preserve"> </w:t>
      </w:r>
    </w:p>
    <w:p w14:paraId="16615DDE" w14:textId="2AC6FDD1" w:rsidR="00CB5A51" w:rsidRDefault="00CB5A51" w:rsidP="00CB5A51">
      <w:pPr>
        <w:pStyle w:val="ListParagraph"/>
        <w:ind w:left="360"/>
      </w:pPr>
      <w:r>
        <w:rPr>
          <w:rFonts w:hint="eastAsia"/>
        </w:rPr>
        <w:t xml:space="preserve">ACFA-HEP is a subgroup of ACFA </w:t>
      </w:r>
      <w:r w:rsidR="00610BF8">
        <w:t>focusing on</w:t>
      </w:r>
      <w:r>
        <w:rPr>
          <w:rFonts w:hint="eastAsia"/>
        </w:rPr>
        <w:t xml:space="preserve"> high energy physics</w:t>
      </w:r>
      <w:r w:rsidR="00610BF8">
        <w:t>,</w:t>
      </w:r>
      <w:r>
        <w:rPr>
          <w:rFonts w:hint="eastAsia"/>
        </w:rPr>
        <w:t xml:space="preserve"> </w:t>
      </w:r>
      <w:r>
        <w:t>established</w:t>
      </w:r>
      <w:r>
        <w:rPr>
          <w:rFonts w:hint="eastAsia"/>
        </w:rPr>
        <w:t xml:space="preserve"> </w:t>
      </w:r>
      <w:r w:rsidRPr="00CB5A51">
        <w:rPr>
          <w:rFonts w:hint="eastAsia"/>
        </w:rPr>
        <w:t>on May 2, 2023</w:t>
      </w:r>
      <w:r w:rsidR="00610BF8">
        <w:t>,</w:t>
      </w:r>
      <w:r>
        <w:rPr>
          <w:rFonts w:hint="eastAsia"/>
        </w:rPr>
        <w:t xml:space="preserve"> based on </w:t>
      </w:r>
      <w:r>
        <w:t>the</w:t>
      </w:r>
      <w:r>
        <w:rPr>
          <w:rFonts w:hint="eastAsia"/>
        </w:rPr>
        <w:t xml:space="preserve"> consensus of ACFA </w:t>
      </w:r>
      <w:r>
        <w:t>representatives</w:t>
      </w:r>
      <w:r>
        <w:rPr>
          <w:rFonts w:hint="eastAsia"/>
        </w:rPr>
        <w:t>.</w:t>
      </w:r>
    </w:p>
    <w:p w14:paraId="236EEBAB" w14:textId="77777777" w:rsidR="00CB5A51" w:rsidRDefault="00CB5A51" w:rsidP="00CB5A51"/>
    <w:p w14:paraId="6D034675" w14:textId="77777777" w:rsidR="00607A33" w:rsidRDefault="00CB5A51" w:rsidP="00F85603">
      <w:pPr>
        <w:pStyle w:val="ListParagraph"/>
        <w:numPr>
          <w:ilvl w:val="0"/>
          <w:numId w:val="1"/>
        </w:numPr>
        <w:snapToGrid w:val="0"/>
        <w:spacing w:before="120"/>
        <w:ind w:left="357" w:hanging="357"/>
        <w:contextualSpacing w:val="0"/>
      </w:pPr>
      <w:r>
        <w:rPr>
          <w:rFonts w:hint="eastAsia"/>
        </w:rPr>
        <w:t xml:space="preserve">Purpose </w:t>
      </w:r>
    </w:p>
    <w:p w14:paraId="5B126F71" w14:textId="2571C2C2" w:rsidR="00F12C3F" w:rsidRPr="00A90487" w:rsidRDefault="00607A33" w:rsidP="00A90487">
      <w:pPr>
        <w:pStyle w:val="ListParagraph"/>
        <w:ind w:left="360"/>
        <w:rPr>
          <w:i/>
          <w:iCs/>
        </w:rPr>
      </w:pPr>
      <w:r>
        <w:rPr>
          <w:rFonts w:hint="eastAsia"/>
        </w:rPr>
        <w:t>Wo</w:t>
      </w:r>
      <w:r w:rsidRPr="00607A33">
        <w:rPr>
          <w:rFonts w:hint="eastAsia"/>
          <w:i/>
          <w:iCs/>
        </w:rPr>
        <w:t>rking within the ACFA framework, the purpose of the ACFA</w:t>
      </w:r>
      <w:r w:rsidR="00610BF8">
        <w:rPr>
          <w:i/>
          <w:iCs/>
        </w:rPr>
        <w:t>-</w:t>
      </w:r>
      <w:r w:rsidRPr="00607A33">
        <w:rPr>
          <w:rFonts w:hint="eastAsia"/>
          <w:i/>
          <w:iCs/>
        </w:rPr>
        <w:t>HEP subgroup is to increase communication and collaboration amongst Asia/Oceania high energy physicists. Such collaboration includes development and usage of facilities and experiments within the region and internationally. The overall aim is to strengthen high energy physics in the Asia-Oceania region.</w:t>
      </w:r>
    </w:p>
    <w:p w14:paraId="518F6F4E" w14:textId="1465BB81" w:rsidR="00F12C3F" w:rsidRDefault="00A90487" w:rsidP="00F85603">
      <w:pPr>
        <w:pStyle w:val="ListParagraph"/>
        <w:numPr>
          <w:ilvl w:val="0"/>
          <w:numId w:val="1"/>
        </w:numPr>
        <w:snapToGrid w:val="0"/>
        <w:spacing w:before="120"/>
        <w:ind w:left="357" w:hanging="357"/>
        <w:contextualSpacing w:val="0"/>
      </w:pPr>
      <w:r>
        <w:t>Mission:</w:t>
      </w:r>
    </w:p>
    <w:p w14:paraId="5B73EF6C" w14:textId="06150FCE" w:rsidR="00A90487" w:rsidRDefault="002418B1" w:rsidP="00F85603">
      <w:pPr>
        <w:pStyle w:val="ListParagraph"/>
        <w:numPr>
          <w:ilvl w:val="1"/>
          <w:numId w:val="1"/>
        </w:numPr>
        <w:snapToGrid w:val="0"/>
        <w:ind w:left="799" w:hanging="357"/>
        <w:contextualSpacing w:val="0"/>
      </w:pPr>
      <w:r>
        <w:t>Promote HEP research,</w:t>
      </w:r>
    </w:p>
    <w:p w14:paraId="76B5CE67" w14:textId="79F8ACC7" w:rsidR="002418B1" w:rsidRDefault="002418B1" w:rsidP="00F85603">
      <w:pPr>
        <w:pStyle w:val="ListParagraph"/>
        <w:numPr>
          <w:ilvl w:val="1"/>
          <w:numId w:val="1"/>
        </w:numPr>
        <w:snapToGrid w:val="0"/>
        <w:ind w:left="799" w:hanging="357"/>
        <w:contextualSpacing w:val="0"/>
      </w:pPr>
      <w:r>
        <w:t>Strengthen Cooperative activities</w:t>
      </w:r>
      <w:r w:rsidR="00A17DEC">
        <w:t>,</w:t>
      </w:r>
    </w:p>
    <w:p w14:paraId="7C62EBB0" w14:textId="4B895351" w:rsidR="00A17DEC" w:rsidRDefault="00A17DEC" w:rsidP="00F85603">
      <w:pPr>
        <w:pStyle w:val="ListParagraph"/>
        <w:numPr>
          <w:ilvl w:val="1"/>
          <w:numId w:val="1"/>
        </w:numPr>
        <w:snapToGrid w:val="0"/>
        <w:ind w:left="799" w:hanging="357"/>
        <w:contextualSpacing w:val="0"/>
      </w:pPr>
      <w:r>
        <w:t>Discuss common regional issues,</w:t>
      </w:r>
    </w:p>
    <w:p w14:paraId="49D473B7" w14:textId="184745EB" w:rsidR="00A17DEC" w:rsidRDefault="00A17DEC" w:rsidP="00F85603">
      <w:pPr>
        <w:pStyle w:val="ListParagraph"/>
        <w:numPr>
          <w:ilvl w:val="1"/>
          <w:numId w:val="1"/>
        </w:numPr>
        <w:snapToGrid w:val="0"/>
        <w:ind w:left="799" w:hanging="357"/>
        <w:contextualSpacing w:val="0"/>
      </w:pPr>
      <w:r>
        <w:t>Foster the next generation of scientists,</w:t>
      </w:r>
    </w:p>
    <w:p w14:paraId="4106A7B4" w14:textId="627AA4A8" w:rsidR="00A17DEC" w:rsidRDefault="00C35B58" w:rsidP="00F85603">
      <w:pPr>
        <w:pStyle w:val="ListParagraph"/>
        <w:numPr>
          <w:ilvl w:val="1"/>
          <w:numId w:val="1"/>
        </w:numPr>
        <w:snapToGrid w:val="0"/>
        <w:ind w:left="799" w:hanging="357"/>
        <w:contextualSpacing w:val="0"/>
      </w:pPr>
      <w:r>
        <w:t>Make recommendations to HEP-related organi</w:t>
      </w:r>
      <w:r w:rsidR="00F85603">
        <w:t>z</w:t>
      </w:r>
      <w:r>
        <w:t>ations/communities,</w:t>
      </w:r>
      <w:r w:rsidR="00F85603">
        <w:t xml:space="preserve"> and</w:t>
      </w:r>
    </w:p>
    <w:p w14:paraId="56686122" w14:textId="0C34371A" w:rsidR="00C35B58" w:rsidRDefault="00F85603" w:rsidP="00F85603">
      <w:pPr>
        <w:pStyle w:val="ListParagraph"/>
        <w:numPr>
          <w:ilvl w:val="1"/>
          <w:numId w:val="1"/>
        </w:numPr>
        <w:snapToGrid w:val="0"/>
        <w:ind w:left="799" w:hanging="357"/>
        <w:contextualSpacing w:val="0"/>
      </w:pPr>
      <w:r>
        <w:t>Deliver our opinions/perspectives to HEP-related organizations/</w:t>
      </w:r>
      <w:proofErr w:type="gramStart"/>
      <w:r>
        <w:t>communities</w:t>
      </w:r>
      <w:proofErr w:type="gramEnd"/>
    </w:p>
    <w:p w14:paraId="2530F797" w14:textId="6D4A2C39" w:rsidR="00607A33" w:rsidRDefault="00607A33" w:rsidP="00F85603">
      <w:pPr>
        <w:pStyle w:val="ListParagraph"/>
        <w:numPr>
          <w:ilvl w:val="0"/>
          <w:numId w:val="1"/>
        </w:numPr>
        <w:snapToGrid w:val="0"/>
        <w:spacing w:before="120"/>
        <w:ind w:left="357" w:hanging="357"/>
        <w:contextualSpacing w:val="0"/>
      </w:pPr>
      <w:r>
        <w:rPr>
          <w:rFonts w:hint="eastAsia"/>
        </w:rPr>
        <w:t>Membership</w:t>
      </w:r>
      <w:r w:rsidR="00610BF8">
        <w:t xml:space="preserve"> will include:</w:t>
      </w:r>
    </w:p>
    <w:p w14:paraId="10FAB6FA" w14:textId="18D657E6" w:rsidR="00607A33" w:rsidRDefault="00607A33" w:rsidP="00607A33">
      <w:pPr>
        <w:pStyle w:val="ListParagraph"/>
        <w:ind w:left="360"/>
      </w:pPr>
      <w:r>
        <w:rPr>
          <w:rFonts w:hint="eastAsia"/>
        </w:rPr>
        <w:t xml:space="preserve">(1) Permanent </w:t>
      </w:r>
      <w:r w:rsidR="00610BF8">
        <w:t>M</w:t>
      </w:r>
      <w:r>
        <w:rPr>
          <w:rFonts w:hint="eastAsia"/>
        </w:rPr>
        <w:t>embers</w:t>
      </w:r>
    </w:p>
    <w:p w14:paraId="42EC978E" w14:textId="04448634" w:rsidR="00607A33" w:rsidRDefault="00607A33" w:rsidP="00607A33">
      <w:pPr>
        <w:pStyle w:val="ListParagraph"/>
        <w:ind w:left="360"/>
      </w:pPr>
      <w:r>
        <w:rPr>
          <w:rFonts w:hint="eastAsia"/>
        </w:rPr>
        <w:t>(2) Scientific Secretar</w:t>
      </w:r>
      <w:r w:rsidR="00610BF8">
        <w:t>y (or Secretar</w:t>
      </w:r>
      <w:r>
        <w:rPr>
          <w:rFonts w:hint="eastAsia"/>
        </w:rPr>
        <w:t>ies</w:t>
      </w:r>
      <w:r w:rsidR="00610BF8">
        <w:t>)</w:t>
      </w:r>
    </w:p>
    <w:p w14:paraId="5A00D5F4" w14:textId="68BBC25A" w:rsidR="00607A33" w:rsidRDefault="00607A33" w:rsidP="00607A33">
      <w:pPr>
        <w:pStyle w:val="ListParagraph"/>
        <w:ind w:left="360"/>
      </w:pPr>
      <w:r>
        <w:rPr>
          <w:rFonts w:hint="eastAsia"/>
        </w:rPr>
        <w:t xml:space="preserve">(3) ACFA </w:t>
      </w:r>
      <w:r>
        <w:t>member</w:t>
      </w:r>
      <w:r>
        <w:rPr>
          <w:rFonts w:hint="eastAsia"/>
        </w:rPr>
        <w:t>s in HEP fields</w:t>
      </w:r>
      <w:r w:rsidR="00E15117">
        <w:t xml:space="preserve"> (limit of 2 members per nation)</w:t>
      </w:r>
    </w:p>
    <w:p w14:paraId="1F7CD506" w14:textId="2D3C9E6A" w:rsidR="00DE0B4D" w:rsidRDefault="00607A33" w:rsidP="00395415">
      <w:pPr>
        <w:pStyle w:val="ListParagraph"/>
        <w:ind w:left="360"/>
      </w:pPr>
      <w:r>
        <w:rPr>
          <w:rFonts w:hint="eastAsia"/>
        </w:rPr>
        <w:t xml:space="preserve">(4) </w:t>
      </w:r>
      <w:r>
        <w:t>Additional</w:t>
      </w:r>
      <w:r>
        <w:rPr>
          <w:rFonts w:hint="eastAsia"/>
        </w:rPr>
        <w:t xml:space="preserve"> members from HEP communities in As</w:t>
      </w:r>
      <w:r w:rsidR="00E15117">
        <w:t>ia</w:t>
      </w:r>
      <w:r>
        <w:rPr>
          <w:rFonts w:hint="eastAsia"/>
        </w:rPr>
        <w:t xml:space="preserve">/Oceania </w:t>
      </w:r>
      <w:r w:rsidR="00E15117">
        <w:t>(limit of 2 members per nation)</w:t>
      </w:r>
      <w:r w:rsidR="007C7418">
        <w:t>.</w:t>
      </w:r>
      <w:r w:rsidR="00395415">
        <w:t xml:space="preserve"> </w:t>
      </w:r>
      <w:r w:rsidR="00DE0B4D">
        <w:t>The tenure of</w:t>
      </w:r>
      <w:r w:rsidR="00350344">
        <w:t xml:space="preserve"> these</w:t>
      </w:r>
      <w:r w:rsidR="00DE0B4D">
        <w:t xml:space="preserve"> members will be determined </w:t>
      </w:r>
      <w:r w:rsidR="00395415">
        <w:t xml:space="preserve">independently </w:t>
      </w:r>
      <w:r w:rsidR="00DE0B4D">
        <w:t xml:space="preserve">by the </w:t>
      </w:r>
      <w:r w:rsidR="00395415">
        <w:t>member nations</w:t>
      </w:r>
    </w:p>
    <w:p w14:paraId="276C84C4" w14:textId="0C3BDB89" w:rsidR="00D469DD" w:rsidRDefault="00610BF8" w:rsidP="00F85603">
      <w:pPr>
        <w:pStyle w:val="ListParagraph"/>
        <w:numPr>
          <w:ilvl w:val="0"/>
          <w:numId w:val="1"/>
        </w:numPr>
        <w:snapToGrid w:val="0"/>
        <w:spacing w:before="120"/>
        <w:ind w:left="357" w:hanging="357"/>
        <w:contextualSpacing w:val="0"/>
      </w:pPr>
      <w:r>
        <w:t xml:space="preserve">The </w:t>
      </w:r>
      <w:r w:rsidR="00D469DD">
        <w:rPr>
          <w:rFonts w:hint="eastAsia"/>
        </w:rPr>
        <w:t xml:space="preserve">Permanent </w:t>
      </w:r>
      <w:r>
        <w:t>M</w:t>
      </w:r>
      <w:r w:rsidR="00D469DD">
        <w:rPr>
          <w:rFonts w:hint="eastAsia"/>
        </w:rPr>
        <w:t>embers</w:t>
      </w:r>
      <w:r>
        <w:t xml:space="preserve"> are:</w:t>
      </w:r>
    </w:p>
    <w:p w14:paraId="1255CFF7" w14:textId="65CD9799" w:rsidR="00607A33" w:rsidRDefault="00D469DD" w:rsidP="00610BF8">
      <w:pPr>
        <w:pStyle w:val="ListParagraph"/>
        <w:numPr>
          <w:ilvl w:val="0"/>
          <w:numId w:val="2"/>
        </w:numPr>
      </w:pPr>
      <w:r>
        <w:rPr>
          <w:rFonts w:hint="eastAsia"/>
        </w:rPr>
        <w:t xml:space="preserve">IHEP </w:t>
      </w:r>
      <w:r w:rsidR="00610BF8">
        <w:t>D</w:t>
      </w:r>
      <w:r>
        <w:rPr>
          <w:rFonts w:hint="eastAsia"/>
        </w:rPr>
        <w:t>irector</w:t>
      </w:r>
      <w:r w:rsidR="00610BF8">
        <w:t>, and</w:t>
      </w:r>
    </w:p>
    <w:p w14:paraId="61F10304" w14:textId="1B3DA80B" w:rsidR="00D469DD" w:rsidRDefault="00D469DD" w:rsidP="00610BF8">
      <w:pPr>
        <w:pStyle w:val="ListParagraph"/>
        <w:numPr>
          <w:ilvl w:val="0"/>
          <w:numId w:val="2"/>
        </w:numPr>
      </w:pPr>
      <w:r>
        <w:rPr>
          <w:rFonts w:hint="eastAsia"/>
        </w:rPr>
        <w:t>KEK Director General</w:t>
      </w:r>
      <w:r w:rsidR="00610BF8">
        <w:t>.</w:t>
      </w:r>
    </w:p>
    <w:p w14:paraId="45229B95" w14:textId="3E447B68" w:rsidR="00D469DD" w:rsidRDefault="00610BF8" w:rsidP="00D469DD">
      <w:pPr>
        <w:pStyle w:val="ListParagraph"/>
        <w:ind w:left="360"/>
      </w:pPr>
      <w:r>
        <w:t>The Permanent Members carry the responsibility of supporting the Scientific Secretaries in their roles in the operation of ACFA-HEP.</w:t>
      </w:r>
    </w:p>
    <w:p w14:paraId="707E1FE0" w14:textId="61E029F4" w:rsidR="00610BF8" w:rsidRDefault="00610BF8" w:rsidP="00D469DD">
      <w:pPr>
        <w:pStyle w:val="ListParagraph"/>
        <w:ind w:left="360"/>
      </w:pPr>
      <w:r>
        <w:t>Permanent Members can call ad</w:t>
      </w:r>
      <w:r w:rsidR="001C4C59">
        <w:t>-</w:t>
      </w:r>
      <w:r>
        <w:t>hoc ACFA-HEP meetings.</w:t>
      </w:r>
    </w:p>
    <w:p w14:paraId="3D6F2231" w14:textId="1DF93424" w:rsidR="00610BF8" w:rsidRDefault="00610BF8" w:rsidP="00D469DD">
      <w:pPr>
        <w:pStyle w:val="ListParagraph"/>
        <w:ind w:left="360"/>
      </w:pPr>
      <w:r>
        <w:t xml:space="preserve">Permanent Members can grant observer status </w:t>
      </w:r>
      <w:r w:rsidR="00E15117">
        <w:t>to</w:t>
      </w:r>
      <w:r>
        <w:t xml:space="preserve"> non-members to attend ACFA-HEP meetings.</w:t>
      </w:r>
    </w:p>
    <w:p w14:paraId="0E3E8733" w14:textId="00EE272A" w:rsidR="00D469DD" w:rsidRDefault="00D469DD" w:rsidP="00F85603">
      <w:pPr>
        <w:pStyle w:val="ListParagraph"/>
        <w:numPr>
          <w:ilvl w:val="0"/>
          <w:numId w:val="1"/>
        </w:numPr>
        <w:snapToGrid w:val="0"/>
        <w:spacing w:before="120"/>
        <w:ind w:left="357" w:hanging="357"/>
        <w:contextualSpacing w:val="0"/>
      </w:pPr>
      <w:r>
        <w:rPr>
          <w:rFonts w:hint="eastAsia"/>
        </w:rPr>
        <w:t xml:space="preserve">Scientific </w:t>
      </w:r>
      <w:r w:rsidR="00610BF8">
        <w:t>S</w:t>
      </w:r>
      <w:r>
        <w:rPr>
          <w:rFonts w:hint="eastAsia"/>
        </w:rPr>
        <w:t>ecretar</w:t>
      </w:r>
      <w:r w:rsidR="00610BF8">
        <w:t xml:space="preserve">y </w:t>
      </w:r>
      <w:r w:rsidR="000B4C05">
        <w:t>(</w:t>
      </w:r>
      <w:r w:rsidR="00610BF8">
        <w:t>or Secretaries</w:t>
      </w:r>
      <w:r w:rsidR="000B4C05">
        <w:t>)</w:t>
      </w:r>
    </w:p>
    <w:p w14:paraId="3EB49400" w14:textId="2D902921" w:rsidR="00D469DD" w:rsidRDefault="00610BF8" w:rsidP="00D469DD">
      <w:pPr>
        <w:pStyle w:val="ListParagraph"/>
        <w:ind w:left="360"/>
      </w:pPr>
      <w:r>
        <w:t>1 or 2 Secretaries are a</w:t>
      </w:r>
      <w:r w:rsidR="00D469DD">
        <w:rPr>
          <w:rFonts w:hint="eastAsia"/>
        </w:rPr>
        <w:t xml:space="preserve">ppointed by Permanent </w:t>
      </w:r>
      <w:r>
        <w:t>M</w:t>
      </w:r>
      <w:r w:rsidR="00D469DD">
        <w:rPr>
          <w:rFonts w:hint="eastAsia"/>
        </w:rPr>
        <w:t>embers.</w:t>
      </w:r>
    </w:p>
    <w:p w14:paraId="65266586" w14:textId="77777777" w:rsidR="00610BF8" w:rsidRDefault="00610BF8" w:rsidP="00D469DD">
      <w:pPr>
        <w:pStyle w:val="ListParagraph"/>
        <w:ind w:left="360"/>
      </w:pPr>
      <w:r>
        <w:t>The roles of the Scientific Secretaries are to:</w:t>
      </w:r>
      <w:r w:rsidR="00D469DD">
        <w:rPr>
          <w:rFonts w:hint="eastAsia"/>
        </w:rPr>
        <w:t xml:space="preserve"> </w:t>
      </w:r>
    </w:p>
    <w:p w14:paraId="7FB77C0D" w14:textId="17DFDC86" w:rsidR="00610BF8" w:rsidRDefault="00610BF8" w:rsidP="00610BF8">
      <w:pPr>
        <w:pStyle w:val="ListParagraph"/>
        <w:numPr>
          <w:ilvl w:val="0"/>
          <w:numId w:val="3"/>
        </w:numPr>
      </w:pPr>
      <w:r>
        <w:t>Maintain</w:t>
      </w:r>
      <w:r w:rsidR="00D469DD">
        <w:rPr>
          <w:rFonts w:hint="eastAsia"/>
        </w:rPr>
        <w:t xml:space="preserve"> </w:t>
      </w:r>
      <w:r w:rsidR="00394D45">
        <w:rPr>
          <w:rFonts w:hint="eastAsia"/>
        </w:rPr>
        <w:t xml:space="preserve">the </w:t>
      </w:r>
      <w:r w:rsidR="00D469DD">
        <w:rPr>
          <w:rFonts w:hint="eastAsia"/>
        </w:rPr>
        <w:t>membership list</w:t>
      </w:r>
      <w:r>
        <w:t>, with email addresses,</w:t>
      </w:r>
    </w:p>
    <w:p w14:paraId="63FF2AA5" w14:textId="5A43BCAB" w:rsidR="00610BF8" w:rsidRDefault="00610BF8" w:rsidP="00610BF8">
      <w:pPr>
        <w:pStyle w:val="ListParagraph"/>
        <w:numPr>
          <w:ilvl w:val="0"/>
          <w:numId w:val="3"/>
        </w:numPr>
      </w:pPr>
      <w:r>
        <w:t>P</w:t>
      </w:r>
      <w:r w:rsidR="00394D45">
        <w:rPr>
          <w:rFonts w:hint="eastAsia"/>
        </w:rPr>
        <w:t xml:space="preserve">repare agenda for </w:t>
      </w:r>
      <w:r>
        <w:t xml:space="preserve">ACFA-HEP </w:t>
      </w:r>
      <w:r w:rsidR="00394D45">
        <w:rPr>
          <w:rFonts w:hint="eastAsia"/>
        </w:rPr>
        <w:t>meeting</w:t>
      </w:r>
      <w:r>
        <w:t>s,</w:t>
      </w:r>
    </w:p>
    <w:p w14:paraId="26B01336" w14:textId="4A052753" w:rsidR="00610BF8" w:rsidRDefault="00610BF8" w:rsidP="00610BF8">
      <w:pPr>
        <w:pStyle w:val="ListParagraph"/>
        <w:numPr>
          <w:ilvl w:val="0"/>
          <w:numId w:val="3"/>
        </w:numPr>
      </w:pPr>
      <w:r>
        <w:t>K</w:t>
      </w:r>
      <w:r w:rsidR="00394D45">
        <w:rPr>
          <w:rFonts w:hint="eastAsia"/>
        </w:rPr>
        <w:t>eep minutes</w:t>
      </w:r>
      <w:r>
        <w:t xml:space="preserve"> of ACFA-HEP meetings, and</w:t>
      </w:r>
    </w:p>
    <w:p w14:paraId="52AA3A2D" w14:textId="2C0B4297" w:rsidR="00D469DD" w:rsidRDefault="00610BF8" w:rsidP="00B1098A">
      <w:pPr>
        <w:pStyle w:val="ListParagraph"/>
        <w:numPr>
          <w:ilvl w:val="0"/>
          <w:numId w:val="3"/>
        </w:numPr>
      </w:pPr>
      <w:r>
        <w:t>P</w:t>
      </w:r>
      <w:r w:rsidR="00394D45">
        <w:rPr>
          <w:rFonts w:hint="eastAsia"/>
        </w:rPr>
        <w:t xml:space="preserve">repare </w:t>
      </w:r>
      <w:r>
        <w:t xml:space="preserve">ACFA-HEP </w:t>
      </w:r>
      <w:r w:rsidR="00394D45">
        <w:rPr>
          <w:rFonts w:hint="eastAsia"/>
        </w:rPr>
        <w:t>reports to ACFA</w:t>
      </w:r>
      <w:r w:rsidR="00D469DD">
        <w:rPr>
          <w:rFonts w:hint="eastAsia"/>
        </w:rPr>
        <w:t>.</w:t>
      </w:r>
    </w:p>
    <w:p w14:paraId="6A18A6D4" w14:textId="4DBED6D2" w:rsidR="00610BF8" w:rsidRDefault="00610BF8" w:rsidP="00F85603">
      <w:pPr>
        <w:pStyle w:val="ListParagraph"/>
        <w:numPr>
          <w:ilvl w:val="0"/>
          <w:numId w:val="1"/>
        </w:numPr>
        <w:snapToGrid w:val="0"/>
        <w:spacing w:before="120"/>
        <w:ind w:left="357" w:hanging="357"/>
        <w:contextualSpacing w:val="0"/>
      </w:pPr>
      <w:r>
        <w:t xml:space="preserve">ACFA-HEP </w:t>
      </w:r>
      <w:r w:rsidR="00D469DD">
        <w:rPr>
          <w:rFonts w:hint="eastAsia"/>
        </w:rPr>
        <w:t>Meeting</w:t>
      </w:r>
      <w:r>
        <w:t>s</w:t>
      </w:r>
      <w:r w:rsidR="00F85603">
        <w:t>:</w:t>
      </w:r>
    </w:p>
    <w:p w14:paraId="071307F3" w14:textId="5FAC91D6" w:rsidR="00610BF8" w:rsidRDefault="00610BF8" w:rsidP="00F85603">
      <w:pPr>
        <w:pStyle w:val="ListParagraph"/>
        <w:numPr>
          <w:ilvl w:val="0"/>
          <w:numId w:val="4"/>
        </w:numPr>
      </w:pPr>
      <w:r>
        <w:t xml:space="preserve">Two ACFA-HEP meetings will be called annually. </w:t>
      </w:r>
    </w:p>
    <w:p w14:paraId="44CA3AC1" w14:textId="36F6393A" w:rsidR="00D469DD" w:rsidRDefault="00610BF8" w:rsidP="00BB179F">
      <w:pPr>
        <w:pStyle w:val="ListParagraph"/>
        <w:numPr>
          <w:ilvl w:val="1"/>
          <w:numId w:val="4"/>
        </w:numPr>
      </w:pPr>
      <w:r>
        <w:t>One of these meetings could be associated with the ACFA AFAD Symposium. The other could be</w:t>
      </w:r>
      <w:r w:rsidR="00D469DD">
        <w:rPr>
          <w:rFonts w:hint="eastAsia"/>
        </w:rPr>
        <w:t xml:space="preserve"> </w:t>
      </w:r>
      <w:r>
        <w:t>associated with a major international HEP Conference, such as the ICHEP or Lepton-Photon conference (which alternate annually).</w:t>
      </w:r>
    </w:p>
    <w:p w14:paraId="1BACF665" w14:textId="41D38B55" w:rsidR="00610BF8" w:rsidRDefault="00610BF8" w:rsidP="00F85603">
      <w:pPr>
        <w:pStyle w:val="ListParagraph"/>
        <w:numPr>
          <w:ilvl w:val="0"/>
          <w:numId w:val="4"/>
        </w:numPr>
      </w:pPr>
      <w:r>
        <w:t>Meetings will provide for attendance via video link in addition to physical attendance.</w:t>
      </w:r>
    </w:p>
    <w:p w14:paraId="12A0B123" w14:textId="0D1F0E1A" w:rsidR="00610BF8" w:rsidRDefault="00610BF8" w:rsidP="00F85603">
      <w:pPr>
        <w:pStyle w:val="ListParagraph"/>
        <w:numPr>
          <w:ilvl w:val="0"/>
          <w:numId w:val="4"/>
        </w:numPr>
      </w:pPr>
      <w:r>
        <w:t xml:space="preserve">Reports from ACFA-HEP meetings will be made to the following ACFA meeting. </w:t>
      </w:r>
    </w:p>
    <w:p w14:paraId="1611A7CB" w14:textId="73A9C788" w:rsidR="00610BF8" w:rsidRDefault="00610BF8" w:rsidP="00F85603">
      <w:pPr>
        <w:pStyle w:val="ListParagraph"/>
        <w:numPr>
          <w:ilvl w:val="0"/>
          <w:numId w:val="4"/>
        </w:numPr>
      </w:pPr>
      <w:r>
        <w:t>Observer status at any meeting can be granted by the Permanent Members.</w:t>
      </w:r>
    </w:p>
    <w:p w14:paraId="099848CE" w14:textId="49578467" w:rsidR="00610BF8" w:rsidRDefault="00610BF8" w:rsidP="00F85603">
      <w:pPr>
        <w:pStyle w:val="ListParagraph"/>
        <w:numPr>
          <w:ilvl w:val="0"/>
          <w:numId w:val="4"/>
        </w:numPr>
      </w:pPr>
      <w:r>
        <w:t xml:space="preserve">Meeting dates will </w:t>
      </w:r>
      <w:r w:rsidR="00B1098A">
        <w:t xml:space="preserve">be </w:t>
      </w:r>
      <w:r>
        <w:t>decided by consensus and can be called by ACFA members who are also ACFA-HEP members and by the ACFA-HEP Permanent Members.</w:t>
      </w:r>
    </w:p>
    <w:p w14:paraId="31B259FF" w14:textId="72DE507A" w:rsidR="00D469DD" w:rsidRDefault="00D469DD" w:rsidP="00B1098A">
      <w:pPr>
        <w:pStyle w:val="ListParagraph"/>
        <w:numPr>
          <w:ilvl w:val="0"/>
          <w:numId w:val="1"/>
        </w:numPr>
        <w:snapToGrid w:val="0"/>
        <w:spacing w:before="120"/>
        <w:ind w:left="357" w:hanging="357"/>
        <w:contextualSpacing w:val="0"/>
      </w:pPr>
      <w:r>
        <w:rPr>
          <w:rFonts w:hint="eastAsia"/>
        </w:rPr>
        <w:t>Structure</w:t>
      </w:r>
    </w:p>
    <w:p w14:paraId="62092E6D" w14:textId="48EA54F6" w:rsidR="00D469DD" w:rsidRDefault="00D469DD" w:rsidP="00A8349D">
      <w:pPr>
        <w:pStyle w:val="ListParagraph"/>
        <w:ind w:left="360"/>
      </w:pPr>
      <w:r>
        <w:t>W</w:t>
      </w:r>
      <w:r>
        <w:rPr>
          <w:rFonts w:hint="eastAsia"/>
        </w:rPr>
        <w:t>orking group, Task force</w:t>
      </w:r>
    </w:p>
    <w:p w14:paraId="01E82CF5" w14:textId="52DC293F" w:rsidR="00D469DD" w:rsidRDefault="00D469DD" w:rsidP="00A8349D">
      <w:pPr>
        <w:pStyle w:val="ListParagraph"/>
        <w:numPr>
          <w:ilvl w:val="0"/>
          <w:numId w:val="1"/>
        </w:numPr>
        <w:snapToGrid w:val="0"/>
        <w:spacing w:before="120"/>
        <w:ind w:left="357" w:hanging="357"/>
        <w:contextualSpacing w:val="0"/>
      </w:pPr>
      <w:r>
        <w:rPr>
          <w:rFonts w:hint="eastAsia"/>
        </w:rPr>
        <w:t>Activities</w:t>
      </w:r>
    </w:p>
    <w:p w14:paraId="20C56DAA" w14:textId="6FBCA197" w:rsidR="00B4757D" w:rsidRDefault="00D8223E" w:rsidP="00E40076">
      <w:pPr>
        <w:pStyle w:val="ListParagraph"/>
        <w:numPr>
          <w:ilvl w:val="0"/>
          <w:numId w:val="5"/>
        </w:numPr>
        <w:jc w:val="left"/>
      </w:pPr>
      <w:r>
        <w:t>E</w:t>
      </w:r>
      <w:r w:rsidR="007744D8">
        <w:t xml:space="preserve">ncourage </w:t>
      </w:r>
      <w:r w:rsidR="00B4757D">
        <w:t>participation in ACFA AFAD symposia</w:t>
      </w:r>
      <w:r>
        <w:t>,</w:t>
      </w:r>
    </w:p>
    <w:p w14:paraId="10305A44" w14:textId="459C0DFA" w:rsidR="00D8223E" w:rsidRDefault="00D8223E" w:rsidP="00E40076">
      <w:pPr>
        <w:pStyle w:val="ListParagraph"/>
        <w:numPr>
          <w:ilvl w:val="0"/>
          <w:numId w:val="5"/>
        </w:numPr>
        <w:jc w:val="left"/>
      </w:pPr>
      <w:r>
        <w:t>E</w:t>
      </w:r>
      <w:r w:rsidR="00B4757D">
        <w:t xml:space="preserve">ncourage </w:t>
      </w:r>
      <w:r>
        <w:t xml:space="preserve">member nations to bid for large HEP </w:t>
      </w:r>
      <w:proofErr w:type="gramStart"/>
      <w:r>
        <w:t>conferences</w:t>
      </w:r>
      <w:proofErr w:type="gramEnd"/>
    </w:p>
    <w:p w14:paraId="2CBAE54C" w14:textId="5045555B" w:rsidR="00D469DD" w:rsidRDefault="000C5A74" w:rsidP="00E40076">
      <w:pPr>
        <w:pStyle w:val="ListParagraph"/>
        <w:numPr>
          <w:ilvl w:val="0"/>
          <w:numId w:val="5"/>
        </w:numPr>
        <w:jc w:val="left"/>
      </w:pPr>
      <w:r>
        <w:t>Promote HEP s</w:t>
      </w:r>
      <w:r w:rsidR="00D469DD">
        <w:rPr>
          <w:rFonts w:hint="eastAsia"/>
        </w:rPr>
        <w:t>chool</w:t>
      </w:r>
      <w:r>
        <w:t>s</w:t>
      </w:r>
      <w:r w:rsidR="00D469DD">
        <w:rPr>
          <w:rFonts w:hint="eastAsia"/>
        </w:rPr>
        <w:t>, workshop</w:t>
      </w:r>
      <w:r>
        <w:t>s</w:t>
      </w:r>
      <w:r w:rsidR="00D469DD">
        <w:rPr>
          <w:rFonts w:hint="eastAsia"/>
        </w:rPr>
        <w:t xml:space="preserve">, </w:t>
      </w:r>
      <w:proofErr w:type="gramStart"/>
      <w:r w:rsidR="00D469DD">
        <w:rPr>
          <w:rFonts w:hint="eastAsia"/>
        </w:rPr>
        <w:t>symposia</w:t>
      </w:r>
      <w:proofErr w:type="gramEnd"/>
      <w:r>
        <w:t xml:space="preserve"> and topical confe</w:t>
      </w:r>
      <w:r w:rsidR="00E40076">
        <w:t>rences in member countri</w:t>
      </w:r>
      <w:r w:rsidR="00D94F61">
        <w:t>es.</w:t>
      </w:r>
    </w:p>
    <w:p w14:paraId="2A27B47A" w14:textId="6909BA16" w:rsidR="00D469DD" w:rsidRDefault="00D25724" w:rsidP="00A8349D">
      <w:pPr>
        <w:pStyle w:val="ListParagraph"/>
        <w:numPr>
          <w:ilvl w:val="0"/>
          <w:numId w:val="5"/>
        </w:numPr>
        <w:jc w:val="left"/>
      </w:pPr>
      <w:r>
        <w:t xml:space="preserve">At the request of </w:t>
      </w:r>
      <w:r w:rsidR="00A8349D">
        <w:t>members, h</w:t>
      </w:r>
      <w:r w:rsidR="00D94F61">
        <w:t xml:space="preserve">elp promote HEP to society and governments </w:t>
      </w:r>
      <w:r w:rsidR="00A8349D">
        <w:t>in their countries.</w:t>
      </w:r>
    </w:p>
    <w:sectPr w:rsidR="00D469DD" w:rsidSect="00B40D0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D22B4" w14:textId="77777777" w:rsidR="00CB5A51" w:rsidRDefault="00CB5A51" w:rsidP="00CB5A51">
      <w:r>
        <w:separator/>
      </w:r>
    </w:p>
  </w:endnote>
  <w:endnote w:type="continuationSeparator" w:id="0">
    <w:p w14:paraId="0F1F7A4B" w14:textId="77777777" w:rsidR="00CB5A51" w:rsidRDefault="00CB5A51" w:rsidP="00CB5A51">
      <w:r>
        <w:continuationSeparator/>
      </w:r>
    </w:p>
  </w:endnote>
  <w:endnote w:type="continuationNotice" w:id="1">
    <w:p w14:paraId="76A7A4EB" w14:textId="77777777" w:rsidR="00196A07" w:rsidRDefault="00196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6E1E0" w14:textId="77777777" w:rsidR="00CB5A51" w:rsidRDefault="00CB5A51" w:rsidP="00CB5A51">
      <w:r>
        <w:separator/>
      </w:r>
    </w:p>
  </w:footnote>
  <w:footnote w:type="continuationSeparator" w:id="0">
    <w:p w14:paraId="07E4926D" w14:textId="77777777" w:rsidR="00CB5A51" w:rsidRDefault="00CB5A51" w:rsidP="00CB5A51">
      <w:r>
        <w:continuationSeparator/>
      </w:r>
    </w:p>
  </w:footnote>
  <w:footnote w:type="continuationNotice" w:id="1">
    <w:p w14:paraId="6FC6F777" w14:textId="77777777" w:rsidR="00196A07" w:rsidRDefault="00196A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6AF"/>
    <w:multiLevelType w:val="hybridMultilevel"/>
    <w:tmpl w:val="4E0A4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84241B"/>
    <w:multiLevelType w:val="hybridMultilevel"/>
    <w:tmpl w:val="B4387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51A12"/>
    <w:multiLevelType w:val="hybridMultilevel"/>
    <w:tmpl w:val="CCC649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FD3B3A"/>
    <w:multiLevelType w:val="hybridMultilevel"/>
    <w:tmpl w:val="413027F6"/>
    <w:lvl w:ilvl="0" w:tplc="BC827DC0">
      <w:start w:val="1"/>
      <w:numFmt w:val="decimal"/>
      <w:lvlText w:val="%1."/>
      <w:lvlJc w:val="left"/>
      <w:pPr>
        <w:ind w:left="360" w:hanging="360"/>
      </w:pPr>
      <w:rPr>
        <w:rFonts w:hint="default"/>
      </w:rPr>
    </w:lvl>
    <w:lvl w:ilvl="1" w:tplc="08090001">
      <w:start w:val="1"/>
      <w:numFmt w:val="bullet"/>
      <w:lvlText w:val=""/>
      <w:lvlJc w:val="left"/>
      <w:pPr>
        <w:ind w:left="800" w:hanging="360"/>
      </w:pPr>
      <w:rPr>
        <w:rFonts w:ascii="Symbol" w:hAnsi="Symbol"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FEB3038"/>
    <w:multiLevelType w:val="hybridMultilevel"/>
    <w:tmpl w:val="47645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03404098">
    <w:abstractNumId w:val="3"/>
  </w:num>
  <w:num w:numId="2" w16cid:durableId="1642879617">
    <w:abstractNumId w:val="2"/>
  </w:num>
  <w:num w:numId="3" w16cid:durableId="2134592633">
    <w:abstractNumId w:val="0"/>
  </w:num>
  <w:num w:numId="4" w16cid:durableId="1144158076">
    <w:abstractNumId w:val="1"/>
  </w:num>
  <w:num w:numId="5" w16cid:durableId="756634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B6"/>
    <w:rsid w:val="0001044A"/>
    <w:rsid w:val="000B4C05"/>
    <w:rsid w:val="000C5A74"/>
    <w:rsid w:val="00136B4D"/>
    <w:rsid w:val="00196A07"/>
    <w:rsid w:val="001C4C59"/>
    <w:rsid w:val="001F5CC0"/>
    <w:rsid w:val="002418B1"/>
    <w:rsid w:val="002B2B0C"/>
    <w:rsid w:val="002F6A0C"/>
    <w:rsid w:val="00350344"/>
    <w:rsid w:val="00373914"/>
    <w:rsid w:val="00394D45"/>
    <w:rsid w:val="00395415"/>
    <w:rsid w:val="003B4B08"/>
    <w:rsid w:val="00453BF1"/>
    <w:rsid w:val="00532117"/>
    <w:rsid w:val="005A5983"/>
    <w:rsid w:val="005D00F3"/>
    <w:rsid w:val="00607A33"/>
    <w:rsid w:val="00610BF8"/>
    <w:rsid w:val="00674146"/>
    <w:rsid w:val="007744D8"/>
    <w:rsid w:val="007C7418"/>
    <w:rsid w:val="0084348A"/>
    <w:rsid w:val="00881850"/>
    <w:rsid w:val="009B47F4"/>
    <w:rsid w:val="00A17DEC"/>
    <w:rsid w:val="00A23E73"/>
    <w:rsid w:val="00A8349D"/>
    <w:rsid w:val="00A90487"/>
    <w:rsid w:val="00B1098A"/>
    <w:rsid w:val="00B40D0F"/>
    <w:rsid w:val="00B4757D"/>
    <w:rsid w:val="00BB179F"/>
    <w:rsid w:val="00BD00B6"/>
    <w:rsid w:val="00C35B58"/>
    <w:rsid w:val="00C81471"/>
    <w:rsid w:val="00CB5A51"/>
    <w:rsid w:val="00CD7664"/>
    <w:rsid w:val="00D25724"/>
    <w:rsid w:val="00D469DD"/>
    <w:rsid w:val="00D8223E"/>
    <w:rsid w:val="00D94F61"/>
    <w:rsid w:val="00DE0B4D"/>
    <w:rsid w:val="00DF4572"/>
    <w:rsid w:val="00E15117"/>
    <w:rsid w:val="00E40076"/>
    <w:rsid w:val="00F12C3F"/>
    <w:rsid w:val="00F16766"/>
    <w:rsid w:val="00F8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A58D62"/>
  <w15:chartTrackingRefBased/>
  <w15:docId w15:val="{3D6A95CA-EC8C-4224-BBA4-EC6F5205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BD00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BD00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BD00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BD00B6"/>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BD00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BD00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D00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BD00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BD00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B6"/>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BD00B6"/>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BD00B6"/>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BD00B6"/>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BD00B6"/>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BD00B6"/>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BD00B6"/>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BD00B6"/>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BD00B6"/>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BD00B6"/>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0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0B6"/>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BD00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00B6"/>
    <w:rPr>
      <w:i/>
      <w:iCs/>
      <w:color w:val="404040" w:themeColor="text1" w:themeTint="BF"/>
    </w:rPr>
  </w:style>
  <w:style w:type="paragraph" w:styleId="ListParagraph">
    <w:name w:val="List Paragraph"/>
    <w:basedOn w:val="Normal"/>
    <w:uiPriority w:val="34"/>
    <w:qFormat/>
    <w:rsid w:val="00BD00B6"/>
    <w:pPr>
      <w:ind w:left="720"/>
      <w:contextualSpacing/>
    </w:pPr>
  </w:style>
  <w:style w:type="character" w:styleId="IntenseEmphasis">
    <w:name w:val="Intense Emphasis"/>
    <w:basedOn w:val="DefaultParagraphFont"/>
    <w:uiPriority w:val="21"/>
    <w:qFormat/>
    <w:rsid w:val="00BD00B6"/>
    <w:rPr>
      <w:i/>
      <w:iCs/>
      <w:color w:val="0F4761" w:themeColor="accent1" w:themeShade="BF"/>
    </w:rPr>
  </w:style>
  <w:style w:type="paragraph" w:styleId="IntenseQuote">
    <w:name w:val="Intense Quote"/>
    <w:basedOn w:val="Normal"/>
    <w:next w:val="Normal"/>
    <w:link w:val="IntenseQuoteChar"/>
    <w:uiPriority w:val="30"/>
    <w:qFormat/>
    <w:rsid w:val="00BD0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0B6"/>
    <w:rPr>
      <w:i/>
      <w:iCs/>
      <w:color w:val="0F4761" w:themeColor="accent1" w:themeShade="BF"/>
    </w:rPr>
  </w:style>
  <w:style w:type="character" w:styleId="IntenseReference">
    <w:name w:val="Intense Reference"/>
    <w:basedOn w:val="DefaultParagraphFont"/>
    <w:uiPriority w:val="32"/>
    <w:qFormat/>
    <w:rsid w:val="00BD00B6"/>
    <w:rPr>
      <w:b/>
      <w:bCs/>
      <w:smallCaps/>
      <w:color w:val="0F4761" w:themeColor="accent1" w:themeShade="BF"/>
      <w:spacing w:val="5"/>
    </w:rPr>
  </w:style>
  <w:style w:type="paragraph" w:styleId="Header">
    <w:name w:val="header"/>
    <w:basedOn w:val="Normal"/>
    <w:link w:val="HeaderChar"/>
    <w:uiPriority w:val="99"/>
    <w:unhideWhenUsed/>
    <w:rsid w:val="00CB5A51"/>
    <w:pPr>
      <w:tabs>
        <w:tab w:val="center" w:pos="4252"/>
        <w:tab w:val="right" w:pos="8504"/>
      </w:tabs>
      <w:snapToGrid w:val="0"/>
    </w:pPr>
  </w:style>
  <w:style w:type="character" w:customStyle="1" w:styleId="HeaderChar">
    <w:name w:val="Header Char"/>
    <w:basedOn w:val="DefaultParagraphFont"/>
    <w:link w:val="Header"/>
    <w:uiPriority w:val="99"/>
    <w:rsid w:val="00CB5A51"/>
  </w:style>
  <w:style w:type="paragraph" w:styleId="Footer">
    <w:name w:val="footer"/>
    <w:basedOn w:val="Normal"/>
    <w:link w:val="FooterChar"/>
    <w:uiPriority w:val="99"/>
    <w:unhideWhenUsed/>
    <w:rsid w:val="00CB5A51"/>
    <w:pPr>
      <w:tabs>
        <w:tab w:val="center" w:pos="4252"/>
        <w:tab w:val="right" w:pos="8504"/>
      </w:tabs>
      <w:snapToGrid w:val="0"/>
    </w:pPr>
  </w:style>
  <w:style w:type="character" w:customStyle="1" w:styleId="FooterChar">
    <w:name w:val="Footer Char"/>
    <w:basedOn w:val="DefaultParagraphFont"/>
    <w:link w:val="Footer"/>
    <w:uiPriority w:val="99"/>
    <w:rsid w:val="00CB5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843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441</Words>
  <Characters>2520</Characters>
  <Application>Microsoft Office Word</Application>
  <DocSecurity>4</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KEK</Company>
  <LinksUpToDate>false</LinksUpToDate>
  <CharactersWithSpaces>2956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OKADA Yasuhiro</dc:creator>
  <cp:keywords/>
  <dc:description/>
  <cp:lastModifiedBy>Geoffrey Taylor</cp:lastModifiedBy>
  <cp:revision>30</cp:revision>
  <dcterms:created xsi:type="dcterms:W3CDTF">2024-05-02T19:59:00Z</dcterms:created>
  <dcterms:modified xsi:type="dcterms:W3CDTF">2024-05-02T20:44:00Z</dcterms:modified>
  <cp:category/>
</cp:coreProperties>
</file>