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947640">
      <w:pPr>
        <w:numPr>
          <w:ilvl w:val="0"/>
          <w:numId w:val="0"/>
        </w:numPr>
        <w:rPr>
          <w:rFonts w:hint="eastAsia"/>
        </w:rPr>
      </w:pPr>
    </w:p>
    <w:p w14:paraId="62146C3B">
      <w:pPr>
        <w:widowControl/>
        <w:jc w:val="left"/>
        <w:rPr>
          <w:rFonts w:hint="default" w:ascii="Times" w:hAnsi="Times" w:eastAsia="宋体" w:cs="Times New Roman"/>
          <w:b/>
          <w:kern w:val="0"/>
          <w:sz w:val="28"/>
          <w:szCs w:val="28"/>
          <w:lang w:val="en-US" w:eastAsia="zh-CN" w:bidi="ar"/>
        </w:rPr>
      </w:pPr>
      <w:r>
        <w:rPr>
          <w:rFonts w:hint="eastAsia" w:ascii="Times" w:hAnsi="Times" w:eastAsia="宋体" w:cs="Times New Roman"/>
          <w:b/>
          <w:kern w:val="0"/>
          <w:sz w:val="28"/>
          <w:szCs w:val="28"/>
          <w:lang w:val="en-US" w:eastAsia="zh-CN" w:bidi="ar"/>
        </w:rPr>
        <w:t xml:space="preserve">1.3.3 </w:t>
      </w:r>
      <w:bookmarkStart w:id="0" w:name="_GoBack"/>
      <w:r>
        <w:rPr>
          <w:rFonts w:hint="eastAsia" w:ascii="Times" w:hAnsi="Times" w:eastAsia="宋体" w:cs="Times New Roman"/>
          <w:b/>
          <w:kern w:val="0"/>
          <w:sz w:val="28"/>
          <w:szCs w:val="28"/>
          <w:lang w:val="en-US" w:eastAsia="zh-CN" w:bidi="ar"/>
        </w:rPr>
        <w:t>TPC机械结构总体概述</w:t>
      </w:r>
      <w:bookmarkEnd w:id="0"/>
    </w:p>
    <w:p w14:paraId="53E4703F">
      <w:pPr>
        <w:adjustRightInd w:val="0"/>
        <w:snapToGrid w:val="0"/>
        <w:spacing w:before="156" w:beforeLines="50" w:after="156" w:afterLines="50" w:line="360" w:lineRule="auto"/>
        <w:ind w:firstLine="602"/>
        <w:jc w:val="left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PC（时间投影室）径迹探测器凭借其独特设计在高能物理实验中展现出显著优势：首先，其三维径迹重建能力可高效记录大量粒子轨迹，探测效率较高；其次，探测器整体采用低物质量设计，通过低物质结构材料大幅减少与粒子的非必要相互作用；然而，该技术也面临核心挑战：（1）轻量化桶部结构需在机械强度与物质含量间实现平衡，对材料选型与制造工艺提出极高要求；（2）场笼内工作气体的长期稳定性易受密度波动与杂质积累影响，需通过优化气体循环系统与实时监测方案维持探测性能，这对密封技术及气体管理策略提出了持续改进需求。</w:t>
      </w:r>
    </w:p>
    <w:p w14:paraId="214C39BC">
      <w:pPr>
        <w:adjustRightInd w:val="0"/>
        <w:snapToGrid w:val="0"/>
        <w:spacing w:before="156" w:beforeLines="50" w:after="156" w:afterLines="50" w:line="360" w:lineRule="auto"/>
        <w:ind w:firstLine="602"/>
        <w:jc w:val="center"/>
        <w:outlineLvl w:val="1"/>
      </w:pPr>
      <w:r>
        <w:drawing>
          <wp:inline distT="0" distB="0" distL="114300" distR="114300">
            <wp:extent cx="2498725" cy="2080895"/>
            <wp:effectExtent l="0" t="0" r="317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6B1ED">
      <w:pPr>
        <w:adjustRightInd w:val="0"/>
        <w:snapToGrid w:val="0"/>
        <w:spacing w:before="156" w:beforeLines="50" w:after="156" w:afterLines="50" w:line="360" w:lineRule="auto"/>
        <w:ind w:firstLine="602"/>
        <w:jc w:val="center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Fig.1 Overall dimensions of the TPC</w:t>
      </w:r>
    </w:p>
    <w:p w14:paraId="6784FDAC"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1.3.3.1 总体结构和机械设计要求</w:t>
      </w:r>
    </w:p>
    <w:p w14:paraId="3E45E1EA">
      <w:pPr>
        <w:adjustRightInd w:val="0"/>
        <w:snapToGrid w:val="0"/>
        <w:spacing w:before="156" w:beforeLines="50" w:after="156" w:afterLines="50" w:line="360" w:lineRule="auto"/>
        <w:ind w:firstLine="602"/>
        <w:jc w:val="left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TPC（时间投影室）探测器的机械结构设计以高精度探测与低物质干扰为核心目标，其核心结构特点如下：端部桶部的低物质量设计，端部电子学模块由网格结构形式实现；在实现低物质量同时，兼顾良好稳定的气体密封性能。</w:t>
      </w:r>
    </w:p>
    <w:p w14:paraId="7D3D76F0">
      <w:pPr>
        <w:adjustRightInd w:val="0"/>
        <w:snapToGrid w:val="0"/>
        <w:spacing w:before="156" w:beforeLines="50" w:after="156" w:afterLines="50" w:line="360" w:lineRule="auto"/>
        <w:ind w:firstLine="602"/>
        <w:jc w:val="left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TPC（时间投影室）探测器的机械结构设计严格遵循高精度粒子探测需求，其核心机械系统技术指标如下：</w:t>
      </w:r>
    </w:p>
    <w:p w14:paraId="65F84C79">
      <w:pPr>
        <w:adjustRightInd w:val="0"/>
        <w:snapToGrid w:val="0"/>
        <w:spacing w:before="156" w:beforeLines="50" w:after="156" w:afterLines="50" w:line="360" w:lineRule="auto"/>
        <w:ind w:firstLine="602"/>
        <w:jc w:val="left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1）几何参数与轻量化设计</w:t>
      </w:r>
    </w:p>
    <w:p w14:paraId="673D2C44">
      <w:pPr>
        <w:adjustRightInd w:val="0"/>
        <w:snapToGrid w:val="0"/>
        <w:spacing w:before="156" w:beforeLines="50" w:after="156" w:afterLines="50" w:line="360" w:lineRule="auto"/>
        <w:ind w:firstLine="602"/>
        <w:jc w:val="left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探测器主体采用双层桶式结构，外桶外径3600mm、内径1200mm，轴向长度5800mm，形成有效探测容积达30m³的灵敏区域。通过有限元优化设计，在确保结构刚度的前提下实现质量最优化，在尽可能低物质量的情况下保证结构的强度和工作稳定性。</w:t>
      </w:r>
    </w:p>
    <w:p w14:paraId="6AE16EF2">
      <w:pPr>
        <w:adjustRightInd w:val="0"/>
        <w:snapToGrid w:val="0"/>
        <w:spacing w:before="156" w:beforeLines="50" w:after="156" w:afterLines="50" w:line="360" w:lineRule="auto"/>
        <w:ind w:firstLine="602"/>
        <w:jc w:val="left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2）力学性能指标</w:t>
      </w:r>
    </w:p>
    <w:p w14:paraId="766F2A80">
      <w:pPr>
        <w:adjustRightInd w:val="0"/>
        <w:snapToGrid w:val="0"/>
        <w:spacing w:before="156" w:beforeLines="50" w:after="156" w:afterLines="50" w:line="360" w:lineRule="auto"/>
        <w:ind w:firstLine="602"/>
        <w:jc w:val="left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结构系统采用碳纤维复合材料混合架构，经有限元分析验证，在满载荷工况下径向变形量≤0.3mm，切向应力分布≤45MPa，应力集中系数控制在1.3以内。通过预应力装配工艺，桶部低物质量结构稳定性的。</w:t>
      </w:r>
    </w:p>
    <w:p w14:paraId="02CDF283">
      <w:pPr>
        <w:adjustRightInd w:val="0"/>
        <w:snapToGrid w:val="0"/>
        <w:spacing w:before="156" w:beforeLines="50" w:after="156" w:afterLines="50" w:line="360" w:lineRule="auto"/>
        <w:ind w:firstLine="602"/>
        <w:jc w:val="left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3）气体系统参数</w:t>
      </w:r>
    </w:p>
    <w:p w14:paraId="30DA1AD9">
      <w:pPr>
        <w:adjustRightInd w:val="0"/>
        <w:snapToGrid w:val="0"/>
        <w:spacing w:before="156" w:beforeLines="50" w:after="156" w:afterLines="50" w:line="360" w:lineRule="auto"/>
        <w:ind w:firstLine="602"/>
        <w:jc w:val="left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场笼内的工作气体介质采用高纯度液态氩气，为了确保电离电子漂移场的均匀性（电场均匀性≤0.5%）。需要设计合理的气体循环机械结构，确保场笼内的气体密度均匀。</w:t>
      </w:r>
    </w:p>
    <w:p w14:paraId="2F697E30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044950" cy="2095500"/>
            <wp:effectExtent l="0" t="0" r="635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l="1637"/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B38F5"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 总体结构介绍</w:t>
      </w:r>
    </w:p>
    <w:p w14:paraId="6E97D39A"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 w14:paraId="45FA0CA9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表1   TPC各部分的重量统计</w:t>
      </w:r>
    </w:p>
    <w:tbl>
      <w:tblPr>
        <w:tblStyle w:val="3"/>
        <w:tblW w:w="752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84"/>
        <w:gridCol w:w="1586"/>
        <w:gridCol w:w="829"/>
        <w:gridCol w:w="1062"/>
        <w:gridCol w:w="1513"/>
        <w:gridCol w:w="1346"/>
      </w:tblGrid>
      <w:tr w14:paraId="2438F7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762" w:hRule="atLeast"/>
          <w:jc w:val="center"/>
        </w:trPr>
        <w:tc>
          <w:tcPr>
            <w:tcW w:w="1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F749EA2">
            <w:pPr>
              <w:pStyle w:val="2"/>
              <w:keepNext w:val="0"/>
              <w:keepLines w:val="0"/>
              <w:widowControl/>
              <w:suppressLineNumbers w:val="0"/>
              <w:kinsoku/>
              <w:wordWrap/>
              <w:overflowPunct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部件</w:t>
            </w:r>
          </w:p>
        </w:tc>
        <w:tc>
          <w:tcPr>
            <w:tcW w:w="15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8B3DDA4">
            <w:pPr>
              <w:pStyle w:val="2"/>
              <w:keepNext w:val="0"/>
              <w:keepLines w:val="0"/>
              <w:widowControl/>
              <w:suppressLineNumbers w:val="0"/>
              <w:kinsoku/>
              <w:wordWrap/>
              <w:overflowPunct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端部（共2个）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8029F8B">
            <w:pPr>
              <w:pStyle w:val="2"/>
              <w:keepNext w:val="0"/>
              <w:keepLines w:val="0"/>
              <w:widowControl/>
              <w:suppressLineNumbers w:val="0"/>
              <w:kinsoku/>
              <w:wordWrap/>
              <w:overflowPunct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内桶</w:t>
            </w:r>
          </w:p>
        </w:tc>
        <w:tc>
          <w:tcPr>
            <w:tcW w:w="10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C473DB8">
            <w:pPr>
              <w:pStyle w:val="2"/>
              <w:keepNext w:val="0"/>
              <w:keepLines w:val="0"/>
              <w:widowControl/>
              <w:suppressLineNumbers w:val="0"/>
              <w:kinsoku/>
              <w:wordWrap/>
              <w:overflowPunct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外桶</w:t>
            </w:r>
          </w:p>
        </w:tc>
        <w:tc>
          <w:tcPr>
            <w:tcW w:w="15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4ED7E75">
            <w:pPr>
              <w:pStyle w:val="2"/>
              <w:keepNext w:val="0"/>
              <w:keepLines w:val="0"/>
              <w:widowControl/>
              <w:suppressLineNumbers w:val="0"/>
              <w:kinsoku/>
              <w:wordWrap/>
              <w:overflowPunct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读出模块（共2个)</w:t>
            </w:r>
          </w:p>
        </w:tc>
        <w:tc>
          <w:tcPr>
            <w:tcW w:w="1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41A3C50">
            <w:pPr>
              <w:pStyle w:val="2"/>
              <w:keepNext w:val="0"/>
              <w:keepLines w:val="0"/>
              <w:widowControl/>
              <w:suppressLineNumbers w:val="0"/>
              <w:kinsoku/>
              <w:wordWrap/>
              <w:overflowPunct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总重量</w:t>
            </w:r>
          </w:p>
        </w:tc>
      </w:tr>
      <w:tr w14:paraId="1F6497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1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2D8EE48">
            <w:pPr>
              <w:pStyle w:val="2"/>
              <w:keepNext w:val="0"/>
              <w:keepLines w:val="0"/>
              <w:widowControl/>
              <w:suppressLineNumbers w:val="0"/>
              <w:kinsoku/>
              <w:wordWrap/>
              <w:overflowPunct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重量</w:t>
            </w:r>
          </w:p>
        </w:tc>
        <w:tc>
          <w:tcPr>
            <w:tcW w:w="15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324C397">
            <w:pPr>
              <w:pStyle w:val="2"/>
              <w:keepNext w:val="0"/>
              <w:keepLines w:val="0"/>
              <w:widowControl/>
              <w:suppressLineNumbers w:val="0"/>
              <w:kinsoku/>
              <w:wordWrap/>
              <w:overflowPunct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295Kg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93800A0">
            <w:pPr>
              <w:pStyle w:val="2"/>
              <w:keepNext w:val="0"/>
              <w:keepLines w:val="0"/>
              <w:widowControl/>
              <w:suppressLineNumbers w:val="0"/>
              <w:kinsoku/>
              <w:wordWrap/>
              <w:overflowPunct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9Kg</w:t>
            </w:r>
          </w:p>
        </w:tc>
        <w:tc>
          <w:tcPr>
            <w:tcW w:w="10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B0BE57E">
            <w:pPr>
              <w:pStyle w:val="2"/>
              <w:keepNext w:val="0"/>
              <w:keepLines w:val="0"/>
              <w:widowControl/>
              <w:suppressLineNumbers w:val="0"/>
              <w:kinsoku/>
              <w:wordWrap/>
              <w:overflowPunct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27.2Kg</w:t>
            </w:r>
          </w:p>
        </w:tc>
        <w:tc>
          <w:tcPr>
            <w:tcW w:w="15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5B7C2AB">
            <w:pPr>
              <w:pStyle w:val="2"/>
              <w:keepNext w:val="0"/>
              <w:keepLines w:val="0"/>
              <w:widowControl/>
              <w:suppressLineNumbers w:val="0"/>
              <w:kinsoku/>
              <w:wordWrap/>
              <w:overflowPunct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424Kg</w:t>
            </w:r>
          </w:p>
        </w:tc>
        <w:tc>
          <w:tcPr>
            <w:tcW w:w="1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A330655">
            <w:pPr>
              <w:pStyle w:val="2"/>
              <w:keepNext w:val="0"/>
              <w:keepLines w:val="0"/>
              <w:widowControl/>
              <w:suppressLineNumbers w:val="0"/>
              <w:kinsoku/>
              <w:wordWrap/>
              <w:overflowPunct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1474.2Kg</w:t>
            </w:r>
          </w:p>
        </w:tc>
      </w:tr>
    </w:tbl>
    <w:p w14:paraId="1BA755E4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3F0E3B7A"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1.3.3.2 各部件的结构设计</w:t>
      </w:r>
    </w:p>
    <w:p w14:paraId="1152A283">
      <w:pPr>
        <w:adjustRightInd w:val="0"/>
        <w:snapToGrid w:val="0"/>
        <w:spacing w:before="156" w:beforeLines="50" w:after="156" w:afterLines="50" w:line="360" w:lineRule="auto"/>
        <w:ind w:firstLine="602"/>
        <w:jc w:val="left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1）端部结构</w:t>
      </w:r>
    </w:p>
    <w:p w14:paraId="28EE80D5">
      <w:pPr>
        <w:adjustRightInd w:val="0"/>
        <w:snapToGrid w:val="0"/>
        <w:spacing w:before="156" w:beforeLines="50" w:after="156" w:afterLines="50" w:line="360" w:lineRule="auto"/>
        <w:ind w:firstLine="602"/>
        <w:jc w:val="left"/>
        <w:outlineLvl w:val="1"/>
        <w:rPr>
          <w:rFonts w:hint="eastAsia" w:ascii="Segoe UI" w:hAnsi="Segoe UI" w:eastAsia="宋体" w:cs="Segoe UI"/>
          <w:i w:val="0"/>
          <w:iCs w:val="0"/>
          <w:caps w:val="0"/>
          <w:spacing w:val="0"/>
          <w:sz w:val="21"/>
          <w:szCs w:val="21"/>
          <w:shd w:val="clear" w:fill="FCFCFC"/>
          <w:lang w:eastAsia="zh-CN"/>
        </w:rPr>
      </w:pPr>
      <w:r>
        <w:rPr>
          <w:rFonts w:hint="default"/>
          <w:lang w:eastAsia="zh-CN"/>
        </w:rPr>
        <w:t>由于低物质量的设计</w:t>
      </w:r>
      <w:r>
        <w:rPr>
          <w:rFonts w:hint="eastAsia"/>
          <w:lang w:val="en-US" w:eastAsia="zh-CN"/>
        </w:rPr>
        <w:t>端部</w:t>
      </w:r>
      <w:r>
        <w:rPr>
          <w:rFonts w:hint="default"/>
          <w:lang w:eastAsia="zh-CN"/>
        </w:rPr>
        <w:t>设计要求，</w:t>
      </w:r>
      <w:r>
        <w:rPr>
          <w:rFonts w:hint="eastAsia"/>
          <w:lang w:val="en-US" w:eastAsia="zh-CN"/>
        </w:rPr>
        <w:t>TPC端部由框架结构和读出电子学模块结构组成。端部框架结构的主要作用首先是支撑电子学读出模块，以较小的物质量结构来实现电子学模块的定位安装。同时框架结构与读出模块进行密封联结，与桶部实现密封联结，形成密闭容器，实现密闭气体腔室。气体腔室的密封漏率为1e-6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1"/>
          <w:szCs w:val="21"/>
          <w:shd w:val="clear" w:fill="FCFCFC"/>
        </w:rPr>
        <w:t>Pa·m³/s</w:t>
      </w:r>
      <w:r>
        <w:rPr>
          <w:rFonts w:hint="eastAsia" w:ascii="Segoe UI" w:hAnsi="Segoe UI" w:eastAsia="宋体" w:cs="Segoe UI"/>
          <w:i w:val="0"/>
          <w:iCs w:val="0"/>
          <w:caps w:val="0"/>
          <w:spacing w:val="0"/>
          <w:sz w:val="21"/>
          <w:szCs w:val="21"/>
          <w:shd w:val="clear" w:fill="FCFCFC"/>
          <w:lang w:eastAsia="zh-CN"/>
        </w:rPr>
        <w:t>。</w:t>
      </w:r>
    </w:p>
    <w:p w14:paraId="7C117D97">
      <w:pPr>
        <w:adjustRightInd w:val="0"/>
        <w:snapToGrid w:val="0"/>
        <w:spacing w:before="156" w:beforeLines="50" w:after="156" w:afterLines="50" w:line="360" w:lineRule="auto"/>
        <w:ind w:firstLine="602"/>
        <w:jc w:val="center"/>
        <w:outlineLvl w:val="1"/>
      </w:pPr>
      <w:r>
        <w:drawing>
          <wp:inline distT="0" distB="0" distL="114300" distR="114300">
            <wp:extent cx="2145665" cy="1882775"/>
            <wp:effectExtent l="0" t="0" r="635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56510" cy="1849755"/>
            <wp:effectExtent l="0" t="0" r="8890" b="4445"/>
            <wp:docPr id="3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3"/>
                    <pic:cNvPicPr>
                      <a:picLocks noChangeAspect="1"/>
                    </pic:cNvPicPr>
                  </pic:nvPicPr>
                  <pic:blipFill>
                    <a:blip r:embed="rId7"/>
                    <a:srcRect r="35197"/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586B6">
      <w:pPr>
        <w:adjustRightInd w:val="0"/>
        <w:snapToGrid w:val="0"/>
        <w:spacing w:before="156" w:beforeLines="50" w:after="156" w:afterLines="50" w:line="360" w:lineRule="auto"/>
        <w:ind w:firstLine="602"/>
        <w:jc w:val="center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图3 TPC端部结构介绍及最大变形</w:t>
      </w:r>
    </w:p>
    <w:p w14:paraId="76F8CA6F">
      <w:pPr>
        <w:adjustRightInd w:val="0"/>
        <w:snapToGrid w:val="0"/>
        <w:spacing w:before="156" w:beforeLines="50" w:after="156" w:afterLines="50" w:line="360" w:lineRule="auto"/>
        <w:ind w:firstLine="602"/>
        <w:jc w:val="left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上图所示，端部结构框架采用铝合金制造，框架筋板厚度为25mm，某些筋板厚度为35mm。经过ANSYS结构模块有限元分析，在端部安装了读出模块后，框架的变形量为0.05mm，最大应力21.5Mpa。读出模块的总重量为424公斤。</w:t>
      </w:r>
    </w:p>
    <w:p w14:paraId="68B083C3">
      <w:pPr>
        <w:numPr>
          <w:ilvl w:val="0"/>
          <w:numId w:val="1"/>
        </w:numPr>
        <w:adjustRightInd w:val="0"/>
        <w:snapToGrid w:val="0"/>
        <w:spacing w:before="156" w:beforeLines="50" w:after="156" w:afterLines="50" w:line="360" w:lineRule="auto"/>
        <w:ind w:firstLine="602"/>
        <w:jc w:val="left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桶部结构</w:t>
      </w:r>
    </w:p>
    <w:p w14:paraId="03F6802F">
      <w:pPr>
        <w:adjustRightInd w:val="0"/>
        <w:snapToGrid w:val="0"/>
        <w:spacing w:before="156" w:beforeLines="50" w:after="156" w:afterLines="50" w:line="360" w:lineRule="auto"/>
        <w:ind w:firstLine="602"/>
        <w:jc w:val="left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TPC桶部采用薄壁碳纤维结构制作，桶部分为内筒部和外筒部结构，采用薄壁碳纤维结构进行制造，材料型号为QM55，材料的纵向剪切强度为43Mpa，即桶部的切向许用应力需要小于43Mpa。外筒部的外径为3600mm，内筒部内径为1200mm，壁厚为0.3mm。外筒部需要安装OTK电子学模块，因此在外筒部成型加工一些安装凸起结构。如图所示。桶部和端部支架的密封采用胶粘密封。</w:t>
      </w:r>
    </w:p>
    <w:p w14:paraId="1305D074">
      <w:pPr>
        <w:adjustRightInd w:val="0"/>
        <w:snapToGrid w:val="0"/>
        <w:spacing w:before="156" w:beforeLines="50" w:after="156" w:afterLines="50" w:line="360" w:lineRule="auto"/>
        <w:ind w:firstLine="602"/>
        <w:jc w:val="center"/>
        <w:outlineLvl w:val="1"/>
      </w:pPr>
      <w:r>
        <w:drawing>
          <wp:inline distT="0" distB="0" distL="114300" distR="114300">
            <wp:extent cx="2324100" cy="1623060"/>
            <wp:effectExtent l="0" t="0" r="0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97685" cy="1590675"/>
            <wp:effectExtent l="0" t="0" r="5715" b="952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768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45890">
      <w:pPr>
        <w:adjustRightInd w:val="0"/>
        <w:snapToGrid w:val="0"/>
        <w:spacing w:before="156" w:beforeLines="50" w:after="156" w:afterLines="50" w:line="360" w:lineRule="auto"/>
        <w:ind w:firstLine="602"/>
        <w:jc w:val="center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 桶部结构</w:t>
      </w:r>
    </w:p>
    <w:p w14:paraId="5C0EC18C">
      <w:pPr>
        <w:adjustRightInd w:val="0"/>
        <w:snapToGrid w:val="0"/>
        <w:spacing w:before="156" w:beforeLines="50" w:after="156" w:afterLines="50" w:line="360" w:lineRule="auto"/>
        <w:ind w:firstLine="602"/>
        <w:jc w:val="center"/>
        <w:outlineLvl w:val="1"/>
      </w:pPr>
      <w:r>
        <w:drawing>
          <wp:inline distT="0" distB="0" distL="114300" distR="114300">
            <wp:extent cx="3451860" cy="1617980"/>
            <wp:effectExtent l="0" t="0" r="2540" b="7620"/>
            <wp:docPr id="8" name="图片 9" descr="最大应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最大应力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83608">
      <w:pPr>
        <w:adjustRightInd w:val="0"/>
        <w:snapToGrid w:val="0"/>
        <w:spacing w:before="156" w:beforeLines="50" w:after="156" w:afterLines="50" w:line="360" w:lineRule="auto"/>
        <w:ind w:firstLine="602"/>
        <w:jc w:val="center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 桶部在承载500公斤OTK模块重量时，最大应力为23Mpa</w:t>
      </w:r>
    </w:p>
    <w:p w14:paraId="0346C54A">
      <w:pPr>
        <w:numPr>
          <w:ilvl w:val="0"/>
          <w:numId w:val="1"/>
        </w:numPr>
        <w:adjustRightInd w:val="0"/>
        <w:snapToGrid w:val="0"/>
        <w:spacing w:before="156" w:beforeLines="50" w:after="156" w:afterLines="50" w:line="360" w:lineRule="auto"/>
        <w:ind w:firstLine="602"/>
        <w:jc w:val="left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中间电极</w:t>
      </w:r>
    </w:p>
    <w:p w14:paraId="6C064921">
      <w:pPr>
        <w:adjustRightInd w:val="0"/>
        <w:snapToGrid w:val="0"/>
        <w:spacing w:before="156" w:beforeLines="50" w:after="156" w:afterLines="50" w:line="360" w:lineRule="auto"/>
        <w:ind w:firstLine="602"/>
        <w:jc w:val="left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中间电极采用0.1mm的铜网制造而成，由碳纤维夹块固定在外筒上。如图所示。</w:t>
      </w:r>
    </w:p>
    <w:p w14:paraId="2A7EBC23">
      <w:pPr>
        <w:numPr>
          <w:numId w:val="0"/>
        </w:numPr>
        <w:adjustRightInd w:val="0"/>
        <w:snapToGrid w:val="0"/>
        <w:spacing w:before="156" w:beforeLines="50" w:after="156" w:afterLines="50" w:line="360" w:lineRule="auto"/>
        <w:jc w:val="center"/>
        <w:outlineLvl w:val="1"/>
      </w:pPr>
      <w:r>
        <w:drawing>
          <wp:inline distT="0" distB="0" distL="114300" distR="114300">
            <wp:extent cx="2348230" cy="1696720"/>
            <wp:effectExtent l="0" t="0" r="1270" b="508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823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0690" cy="1717675"/>
            <wp:effectExtent l="0" t="0" r="3810" b="952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C8A63">
      <w:pPr>
        <w:numPr>
          <w:numId w:val="0"/>
        </w:numPr>
        <w:adjustRightInd w:val="0"/>
        <w:snapToGrid w:val="0"/>
        <w:spacing w:before="156" w:beforeLines="50" w:after="156" w:afterLines="50" w:line="360" w:lineRule="auto"/>
        <w:jc w:val="center"/>
        <w:outlineLvl w:val="1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图6 中间电极材料</w:t>
      </w:r>
    </w:p>
    <w:p w14:paraId="25BF0B30"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1.3.3.3 气体密度研究</w:t>
      </w:r>
    </w:p>
    <w:p w14:paraId="3CF559EB">
      <w:pPr>
        <w:adjustRightInd w:val="0"/>
        <w:snapToGrid w:val="0"/>
        <w:spacing w:before="156" w:beforeLines="50" w:after="156" w:afterLines="50" w:line="360" w:lineRule="auto"/>
        <w:ind w:firstLine="602"/>
        <w:jc w:val="left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TPC场笼需要注入均匀的工作气体，气体成为主要为氩气。气体置换系统的设计要求：</w:t>
      </w:r>
    </w:p>
    <w:p w14:paraId="69679F33">
      <w:pPr>
        <w:adjustRightInd w:val="0"/>
        <w:snapToGrid w:val="0"/>
        <w:spacing w:before="156" w:beforeLines="50" w:after="156" w:afterLines="50" w:line="360" w:lineRule="auto"/>
        <w:ind w:firstLine="602"/>
        <w:jc w:val="left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1、TPC需要将腔体内的空气置换成目标气体，气体成分：</w:t>
      </w:r>
    </w:p>
    <w:p w14:paraId="2E7A3F5E">
      <w:pPr>
        <w:adjustRightInd w:val="0"/>
        <w:snapToGrid w:val="0"/>
        <w:spacing w:before="156" w:beforeLines="50" w:after="156" w:afterLines="50" w:line="360" w:lineRule="auto"/>
        <w:ind w:firstLine="602"/>
        <w:jc w:val="left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2、气体均匀度达到99%。</w:t>
      </w:r>
    </w:p>
    <w:p w14:paraId="66A8EDBD">
      <w:pPr>
        <w:adjustRightInd w:val="0"/>
        <w:snapToGrid w:val="0"/>
        <w:spacing w:before="156" w:beforeLines="50" w:after="156" w:afterLines="50" w:line="360" w:lineRule="auto"/>
        <w:ind w:firstLine="602"/>
        <w:jc w:val="left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3、置换气体流量：100-500mL/min，气体出口压力110Kpa</w:t>
      </w:r>
    </w:p>
    <w:p w14:paraId="16C836A8">
      <w:pPr>
        <w:adjustRightInd w:val="0"/>
        <w:snapToGrid w:val="0"/>
        <w:spacing w:before="156" w:beforeLines="50" w:after="156" w:afterLines="50" w:line="360" w:lineRule="auto"/>
        <w:ind w:firstLine="602"/>
        <w:jc w:val="left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研究目标：设计满足气体置换的进出口设计</w:t>
      </w:r>
    </w:p>
    <w:p w14:paraId="44A0CD83">
      <w:pPr>
        <w:adjustRightInd w:val="0"/>
        <w:snapToGrid w:val="0"/>
        <w:spacing w:before="156" w:beforeLines="50" w:after="156" w:afterLines="50" w:line="360" w:lineRule="auto"/>
        <w:ind w:firstLine="602"/>
        <w:jc w:val="left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通过优化设计，选择的气体置换的方式为端部下进上出的方式，在端部60度方向设计8各直径为8mm的气孔。经过流场仿真，置换气体在气体腔室的均匀度可以达到要求。如图所示。</w:t>
      </w:r>
    </w:p>
    <w:p w14:paraId="547013C6">
      <w:pPr>
        <w:numPr>
          <w:ilvl w:val="0"/>
          <w:numId w:val="0"/>
        </w:numPr>
      </w:pPr>
      <w:r>
        <w:drawing>
          <wp:inline distT="0" distB="0" distL="114300" distR="114300">
            <wp:extent cx="2257425" cy="1678305"/>
            <wp:effectExtent l="0" t="0" r="3175" b="10795"/>
            <wp:docPr id="4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454910" cy="1318260"/>
            <wp:effectExtent l="0" t="0" r="889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3F6D4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图7  进排气孔的两种分布方式，流体仿真结果</w:t>
      </w:r>
    </w:p>
    <w:p w14:paraId="6305045F"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1A4D0C13"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7C0E9615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1.3.3.</w:t>
      </w:r>
      <w:r>
        <w:rPr>
          <w:rFonts w:hint="eastAsia"/>
          <w:lang w:val="en-US" w:eastAsia="zh-CN"/>
        </w:rPr>
        <w:t>4 端部温度控制设计</w:t>
      </w:r>
    </w:p>
    <w:p w14:paraId="40214A23">
      <w:pPr>
        <w:adjustRightInd w:val="0"/>
        <w:snapToGrid w:val="0"/>
        <w:spacing w:before="156" w:beforeLines="50" w:after="156" w:afterLines="50" w:line="360" w:lineRule="auto"/>
        <w:ind w:firstLine="602"/>
        <w:jc w:val="left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TPC端部的读出模块电子学总发热功率为10KW，平均到每一个电子学模块上的发热功率约为50W。为了使得读出模块稳定工作，需要设计冷却机构。</w:t>
      </w:r>
    </w:p>
    <w:p w14:paraId="29017B60">
      <w:pPr>
        <w:numPr>
          <w:ilvl w:val="0"/>
          <w:numId w:val="0"/>
        </w:num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121535" cy="1691640"/>
            <wp:effectExtent l="0" t="0" r="0" b="1016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91665" cy="2011045"/>
            <wp:effectExtent l="0" t="0" r="635" b="8255"/>
            <wp:docPr id="18" name="图片 18" descr="174073244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4073244213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1665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BD4AD"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图8 端部冷却结构，水冷板、端部框架、读出模块</w:t>
      </w:r>
    </w:p>
    <w:p w14:paraId="45B1F30F">
      <w:pPr>
        <w:adjustRightInd w:val="0"/>
        <w:snapToGrid w:val="0"/>
        <w:spacing w:before="156" w:beforeLines="50" w:after="156" w:afterLines="50" w:line="360" w:lineRule="auto"/>
        <w:ind w:firstLine="602"/>
        <w:jc w:val="left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冷却结构有方形水冷管沿着端部框架筋板排布，在水冷管和水冷管之间，焊接2mm厚的铜板传递热量，铜板与读出模块进行贴紧导热。由于整个端部结构的表面积约为1.5mm</w:t>
      </w:r>
      <w:r>
        <w:rPr>
          <w:rFonts w:hint="eastAsia"/>
          <w:vertAlign w:val="superscript"/>
          <w:lang w:val="en-US" w:eastAsia="zh-CN"/>
        </w:rPr>
        <w:t>2</w:t>
      </w:r>
      <w:r>
        <w:rPr>
          <w:rFonts w:hint="eastAsia"/>
          <w:lang w:val="en-US" w:eastAsia="zh-CN"/>
        </w:rPr>
        <w:t>，单根水管冷却有些困难，因此采用6路水进行并行冷却。铜板会增加端部的物质量，因此后期可以考虑将端板用微管结构进行代替。</w:t>
      </w:r>
    </w:p>
    <w:p w14:paraId="12AA5515">
      <w:pPr>
        <w:adjustRightInd w:val="0"/>
        <w:snapToGrid w:val="0"/>
        <w:spacing w:before="156" w:beforeLines="50" w:after="156" w:afterLines="50" w:line="360" w:lineRule="auto"/>
        <w:ind w:firstLine="602"/>
        <w:jc w:val="left"/>
        <w:outlineLvl w:val="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采用静态热力学有限元分析，</w:t>
      </w:r>
      <w:r>
        <w:rPr>
          <w:rFonts w:hint="eastAsia"/>
          <w:lang w:val="en-US" w:eastAsia="zh-CN"/>
        </w:rPr>
        <w:t>经过优化</w:t>
      </w:r>
      <w:r>
        <w:rPr>
          <w:rFonts w:hint="default"/>
          <w:lang w:val="en-US" w:eastAsia="zh-CN"/>
        </w:rPr>
        <w:t>入口水温为15°，出口水温为32°，所需要的最小流速为2.63m/s ，流量 3.1L/min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水冷热交换为5000W/m^2C时，读出模块的最大温度28度，温升约为13度。</w:t>
      </w:r>
    </w:p>
    <w:p w14:paraId="4F5B9A7F">
      <w:pPr>
        <w:adjustRightInd w:val="0"/>
        <w:snapToGrid w:val="0"/>
        <w:spacing w:before="156" w:beforeLines="50" w:after="156" w:afterLines="50" w:line="360" w:lineRule="auto"/>
        <w:ind w:firstLine="602"/>
        <w:jc w:val="center"/>
        <w:outlineLvl w:val="1"/>
        <w:rPr>
          <w:rFonts w:hint="default"/>
          <w:lang w:val="en-US" w:eastAsia="zh-CN"/>
        </w:rPr>
      </w:pPr>
      <w:r>
        <w:drawing>
          <wp:inline distT="0" distB="0" distL="114300" distR="114300">
            <wp:extent cx="4240530" cy="2024380"/>
            <wp:effectExtent l="0" t="0" r="1270" b="762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4053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A6D39">
      <w:pPr>
        <w:adjustRightInd w:val="0"/>
        <w:snapToGrid w:val="0"/>
        <w:spacing w:before="156" w:beforeLines="50" w:after="156" w:afterLines="50" w:line="360" w:lineRule="auto"/>
        <w:ind w:firstLine="602"/>
        <w:jc w:val="center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图9 单路水的热学分析</w:t>
      </w:r>
    </w:p>
    <w:p w14:paraId="2F21E5B4">
      <w:pPr>
        <w:adjustRightInd w:val="0"/>
        <w:snapToGrid w:val="0"/>
        <w:spacing w:before="156" w:beforeLines="50" w:after="156" w:afterLines="50" w:line="360" w:lineRule="auto"/>
        <w:ind w:firstLine="602"/>
        <w:jc w:val="left"/>
        <w:outlineLvl w:val="1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24183A5"/>
    <w:multiLevelType w:val="singleLevel"/>
    <w:tmpl w:val="B24183A5"/>
    <w:lvl w:ilvl="0" w:tentative="0">
      <w:start w:val="2"/>
      <w:numFmt w:val="decimal"/>
      <w:suff w:val="nothing"/>
      <w:lvlText w:val="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U2NWFlNTkxMGZjODc5ZjAyNDA4OWM2N2FjMzg3MWQifQ=="/>
  </w:docVars>
  <w:rsids>
    <w:rsidRoot w:val="FDFF7EF4"/>
    <w:rsid w:val="00286065"/>
    <w:rsid w:val="06DD5385"/>
    <w:rsid w:val="0B4A059F"/>
    <w:rsid w:val="0B506BB5"/>
    <w:rsid w:val="0C27271D"/>
    <w:rsid w:val="0DB6286F"/>
    <w:rsid w:val="104D469A"/>
    <w:rsid w:val="123948B6"/>
    <w:rsid w:val="145A67BA"/>
    <w:rsid w:val="15D6756A"/>
    <w:rsid w:val="17E977D0"/>
    <w:rsid w:val="1827388A"/>
    <w:rsid w:val="1D8B5149"/>
    <w:rsid w:val="1E0C16EA"/>
    <w:rsid w:val="25666179"/>
    <w:rsid w:val="25A07368"/>
    <w:rsid w:val="25DE4F40"/>
    <w:rsid w:val="27E56B08"/>
    <w:rsid w:val="293C1CE1"/>
    <w:rsid w:val="2C1D6F6A"/>
    <w:rsid w:val="2C5A2726"/>
    <w:rsid w:val="2E99280E"/>
    <w:rsid w:val="2F5C5F46"/>
    <w:rsid w:val="30455BDA"/>
    <w:rsid w:val="34EC78AF"/>
    <w:rsid w:val="35594285"/>
    <w:rsid w:val="3E902C72"/>
    <w:rsid w:val="3E9501E8"/>
    <w:rsid w:val="3EF9BB08"/>
    <w:rsid w:val="3FEE07F8"/>
    <w:rsid w:val="40692574"/>
    <w:rsid w:val="43BF3306"/>
    <w:rsid w:val="4480065E"/>
    <w:rsid w:val="48F8683C"/>
    <w:rsid w:val="4AD11D62"/>
    <w:rsid w:val="4CA71D80"/>
    <w:rsid w:val="535F40E6"/>
    <w:rsid w:val="578954C8"/>
    <w:rsid w:val="57A61A4F"/>
    <w:rsid w:val="59905F4A"/>
    <w:rsid w:val="5AE50D8F"/>
    <w:rsid w:val="5C987B86"/>
    <w:rsid w:val="5E7BBC6A"/>
    <w:rsid w:val="60564CBF"/>
    <w:rsid w:val="607A3083"/>
    <w:rsid w:val="63636C04"/>
    <w:rsid w:val="6FCD08DD"/>
    <w:rsid w:val="7353043D"/>
    <w:rsid w:val="74125E8F"/>
    <w:rsid w:val="75147228"/>
    <w:rsid w:val="7648453E"/>
    <w:rsid w:val="7A7237F8"/>
    <w:rsid w:val="7A9647D9"/>
    <w:rsid w:val="7C602A10"/>
    <w:rsid w:val="7F364C55"/>
    <w:rsid w:val="7F4F87E2"/>
    <w:rsid w:val="AFFF1DBA"/>
    <w:rsid w:val="B5DAA0EE"/>
    <w:rsid w:val="BEF33E95"/>
    <w:rsid w:val="DF8D9C7D"/>
    <w:rsid w:val="EE78A591"/>
    <w:rsid w:val="F5DDE202"/>
    <w:rsid w:val="FA7FD4F3"/>
    <w:rsid w:val="FBF128F3"/>
    <w:rsid w:val="FCDD8052"/>
    <w:rsid w:val="FDFF7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1474</Words>
  <Characters>1588</Characters>
  <Lines>0</Lines>
  <Paragraphs>0</Paragraphs>
  <TotalTime>1</TotalTime>
  <ScaleCrop>false</ScaleCrop>
  <LinksUpToDate>false</LinksUpToDate>
  <CharactersWithSpaces>1602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2022-03-30T07:51:00Z</dcterms:created>
  <dc:creator>qsfang</dc:creator>
  <cp:lastModifiedBy>Lucifer</cp:lastModifiedBy>
  <dcterms:modified xsi:type="dcterms:W3CDTF">2025-02-28T08:57:03Z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3E89D0DA8CEE455CA879A6FB3CE1BB63_12</vt:lpwstr>
  </property>
  <property fmtid="{D5CDD505-2E9C-101B-9397-08002B2CF9AE}" pid="4" name="KSOTemplateDocerSaveRecord">
    <vt:lpwstr>eyJoZGlkIjoiN2U2NWFlNTkxMGZjODc5ZjAyNDA4OWM2N2FjMzg3MWQiLCJ1c2VySWQiOiIzODk0ODUyOTQifQ==</vt:lpwstr>
  </property>
</Properties>
</file>