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2558B"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 xml:space="preserve">A.3 Summary of cryogenic system mini-review (Rui Ge, Mei Li) </w:t>
      </w:r>
    </w:p>
    <w:p w14:paraId="4C3C2AB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A.3.1 Comments </w:t>
      </w:r>
    </w:p>
    <w:p w14:paraId="03AD2A1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The committee congratulates for the </w:t>
      </w:r>
      <w:proofErr w:type="spellStart"/>
      <w:r w:rsidRPr="002B1BDF">
        <w:rPr>
          <w:rFonts w:ascii="Times New Roman" w:hAnsi="Times New Roman" w:cs="Times New Roman"/>
          <w:sz w:val="22"/>
        </w:rPr>
        <w:t>signiffcant</w:t>
      </w:r>
      <w:proofErr w:type="spellEnd"/>
      <w:r w:rsidRPr="002B1BDF">
        <w:rPr>
          <w:rFonts w:ascii="Times New Roman" w:hAnsi="Times New Roman" w:cs="Times New Roman"/>
          <w:sz w:val="22"/>
        </w:rPr>
        <w:t xml:space="preserve"> progress in the CEPC general cryogenics system design and calculation, including overall design optimization and consideration on actions required for abnormal conditions in individual systems. The committee acknowledges that suggestions and recommendations from the cryogenics system mini-review, held on May 13th, 2025, have been responded to well. The committee </w:t>
      </w:r>
      <w:proofErr w:type="spellStart"/>
      <w:r w:rsidRPr="002B1BDF">
        <w:rPr>
          <w:rFonts w:ascii="Times New Roman" w:hAnsi="Times New Roman" w:cs="Times New Roman"/>
          <w:sz w:val="22"/>
        </w:rPr>
        <w:t>recognises</w:t>
      </w:r>
      <w:proofErr w:type="spellEnd"/>
      <w:r w:rsidRPr="002B1BDF">
        <w:rPr>
          <w:rFonts w:ascii="Times New Roman" w:hAnsi="Times New Roman" w:cs="Times New Roman"/>
          <w:sz w:val="22"/>
        </w:rPr>
        <w:t xml:space="preserve"> that the main refrigerator system design with the general layout and calculations to </w:t>
      </w:r>
      <w:proofErr w:type="spellStart"/>
      <w:r w:rsidRPr="002B1BDF">
        <w:rPr>
          <w:rFonts w:ascii="Times New Roman" w:hAnsi="Times New Roman" w:cs="Times New Roman"/>
          <w:sz w:val="22"/>
        </w:rPr>
        <w:t>conffrm</w:t>
      </w:r>
      <w:proofErr w:type="spellEnd"/>
      <w:r w:rsidRPr="002B1BDF">
        <w:rPr>
          <w:rFonts w:ascii="Times New Roman" w:hAnsi="Times New Roman" w:cs="Times New Roman"/>
          <w:sz w:val="22"/>
        </w:rPr>
        <w:t xml:space="preserve"> overall thermal balance, as well as the safety margin, have </w:t>
      </w:r>
      <w:proofErr w:type="spellStart"/>
      <w:r w:rsidRPr="002B1BDF">
        <w:rPr>
          <w:rFonts w:ascii="Times New Roman" w:hAnsi="Times New Roman" w:cs="Times New Roman"/>
          <w:sz w:val="22"/>
        </w:rPr>
        <w:t>sufffciently</w:t>
      </w:r>
      <w:proofErr w:type="spellEnd"/>
      <w:r w:rsidRPr="002B1BDF">
        <w:rPr>
          <w:rFonts w:ascii="Times New Roman" w:hAnsi="Times New Roman" w:cs="Times New Roman"/>
          <w:sz w:val="22"/>
        </w:rPr>
        <w:t xml:space="preserve"> matured in this stage towards the EDR. As an important advice, helium-resource conservation is expected to be a </w:t>
      </w:r>
      <w:proofErr w:type="spellStart"/>
      <w:r w:rsidRPr="002B1BDF">
        <w:rPr>
          <w:rFonts w:ascii="Times New Roman" w:hAnsi="Times New Roman" w:cs="Times New Roman"/>
          <w:sz w:val="22"/>
        </w:rPr>
        <w:t>signiffcantly</w:t>
      </w:r>
      <w:proofErr w:type="spellEnd"/>
      <w:r w:rsidRPr="002B1BDF">
        <w:rPr>
          <w:rFonts w:ascii="Times New Roman" w:hAnsi="Times New Roman" w:cs="Times New Roman"/>
          <w:sz w:val="22"/>
        </w:rPr>
        <w:t xml:space="preserve"> critical issue on a global scale in the future. Full recovery of helium resource in any case of emergency modes shall be carefully prepared. The committee understands that the cryomodule (CM) design and R&amp;D for the collider (650 MHz) and the booster (1.3 GHz) are in progress for prototyping, including performance demonstration. It will be very important to learn from the experience of other projects. </w:t>
      </w:r>
    </w:p>
    <w:p w14:paraId="25348714" w14:textId="77777777" w:rsidR="00406C66" w:rsidRPr="002B1BDF" w:rsidRDefault="00406C66" w:rsidP="00B21F92">
      <w:pPr>
        <w:spacing w:line="360" w:lineRule="auto"/>
        <w:ind w:firstLineChars="176" w:firstLine="387"/>
        <w:rPr>
          <w:rFonts w:ascii="Times New Roman" w:hAnsi="Times New Roman" w:cs="Times New Roman"/>
          <w:sz w:val="22"/>
        </w:rPr>
      </w:pPr>
    </w:p>
    <w:p w14:paraId="6B2ED21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A.3.2 Recommendations </w:t>
      </w:r>
    </w:p>
    <w:p w14:paraId="7E3FD08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1. Complete the overall cryogenics system design, including smaller system designs at IP1 and IP3 for the SCQ and the detector solenoids; </w:t>
      </w:r>
    </w:p>
    <w:p w14:paraId="712F4F7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shd w:val="clear" w:color="auto" w:fill="FFFFFF"/>
        </w:rPr>
        <w:t>Answer: The design work for the two smaller systems at IP1 and IP3 is currently being advanced by other colleagues. These developments will be integrated into the overall cryogenic system design and presented in the next project review meeting.</w:t>
      </w:r>
    </w:p>
    <w:p w14:paraId="3F08574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2. Pursue highly reliable and sustainable CEPC cryogenics system, enabling to realize full helium resource recovery and conservation in superconducting magnet and RF system operation associated by fundamental infrastructure; </w:t>
      </w:r>
    </w:p>
    <w:p w14:paraId="3E0930E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shd w:val="clear" w:color="auto" w:fill="FFFFFF"/>
        </w:rPr>
        <w:t xml:space="preserve">Answer: Detailed calculations and analyses are currently underway to ensure full helium recovery and conservation. During the IARC meeting, we also had in-depth discussions with Prof. Akira Yamamoto from KEK, which provided valuable insights for enhancing system </w:t>
      </w:r>
      <w:r w:rsidRPr="002B1BDF">
        <w:rPr>
          <w:rFonts w:ascii="Times New Roman" w:hAnsi="Times New Roman" w:cs="Times New Roman"/>
          <w:sz w:val="22"/>
          <w:shd w:val="clear" w:color="auto" w:fill="FFFFFF"/>
        </w:rPr>
        <w:lastRenderedPageBreak/>
        <w:t>sustainability.</w:t>
      </w:r>
    </w:p>
    <w:p w14:paraId="01A626A0" w14:textId="77777777" w:rsidR="00406C66" w:rsidRPr="002B1BDF" w:rsidRDefault="00406C66" w:rsidP="00B21F92">
      <w:pPr>
        <w:spacing w:line="360" w:lineRule="auto"/>
        <w:ind w:firstLineChars="176" w:firstLine="387"/>
        <w:rPr>
          <w:rFonts w:ascii="Times New Roman" w:hAnsi="Times New Roman" w:cs="Times New Roman"/>
          <w:sz w:val="22"/>
        </w:rPr>
      </w:pPr>
    </w:p>
    <w:p w14:paraId="5E2482A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Advance the CM design, in particular for two remaining issues: proper thermal balance with proper radiation shield design, and 2-phase He supply pipe design;</w:t>
      </w:r>
    </w:p>
    <w:p w14:paraId="39B4C876" w14:textId="77777777" w:rsidR="00406C66" w:rsidRPr="002B1BDF" w:rsidRDefault="00406C66" w:rsidP="00B21F92">
      <w:pPr>
        <w:spacing w:line="360" w:lineRule="auto"/>
        <w:ind w:firstLineChars="176" w:firstLine="387"/>
        <w:rPr>
          <w:rFonts w:ascii="Times New Roman" w:hAnsi="Times New Roman" w:cs="Times New Roman"/>
          <w:sz w:val="22"/>
          <w:shd w:val="clear" w:color="auto" w:fill="FFFFFF"/>
        </w:rPr>
      </w:pPr>
      <w:r w:rsidRPr="002B1BDF">
        <w:rPr>
          <w:rFonts w:ascii="Times New Roman" w:hAnsi="Times New Roman" w:cs="Times New Roman"/>
          <w:sz w:val="22"/>
          <w:shd w:val="clear" w:color="auto" w:fill="FFFFFF"/>
        </w:rPr>
        <w:t>Answer: Detailed thermal and fluid dynamic calculations are in progress to address the remaining issues related to thermal balance and the two-phase helium supply pipe design.</w:t>
      </w:r>
    </w:p>
    <w:p w14:paraId="677B37F9" w14:textId="77777777" w:rsidR="00406C66" w:rsidRPr="002B1BDF" w:rsidRDefault="00406C66" w:rsidP="00B21F92">
      <w:pPr>
        <w:spacing w:line="360" w:lineRule="auto"/>
        <w:ind w:firstLineChars="176" w:firstLine="387"/>
        <w:rPr>
          <w:rFonts w:ascii="Times New Roman" w:hAnsi="Times New Roman" w:cs="Times New Roman"/>
          <w:sz w:val="22"/>
        </w:rPr>
      </w:pPr>
    </w:p>
    <w:p w14:paraId="7D1F34E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4. Establish the safety design for protecting the superconducting magnet and SRF systems, in case of quench and other failures.</w:t>
      </w:r>
    </w:p>
    <w:p w14:paraId="313C8B62" w14:textId="77777777" w:rsidR="00406C66" w:rsidRPr="002B1BDF" w:rsidRDefault="00406C66" w:rsidP="00B21F92">
      <w:pPr>
        <w:spacing w:line="360" w:lineRule="auto"/>
        <w:ind w:firstLineChars="176" w:firstLine="387"/>
        <w:rPr>
          <w:rFonts w:ascii="Times New Roman" w:hAnsi="Times New Roman" w:cs="Times New Roman"/>
          <w:sz w:val="22"/>
          <w:shd w:val="clear" w:color="auto" w:fill="FFFFFF"/>
        </w:rPr>
      </w:pPr>
      <w:r w:rsidRPr="002B1BDF">
        <w:rPr>
          <w:rFonts w:ascii="Times New Roman" w:hAnsi="Times New Roman" w:cs="Times New Roman"/>
          <w:sz w:val="22"/>
          <w:shd w:val="clear" w:color="auto" w:fill="FFFFFF"/>
        </w:rPr>
        <w:t>Answer: We are currently performing detailed simulations and analyses to develop a robust safety design that ensures protection of the superconducting magnet and SRF systems during quench and other failure scenarios.</w:t>
      </w:r>
    </w:p>
    <w:p w14:paraId="7ABBFAF3" w14:textId="77777777" w:rsidR="00406C66" w:rsidRPr="002B1BDF" w:rsidRDefault="00406C66" w:rsidP="00B21F92">
      <w:pPr>
        <w:spacing w:line="360" w:lineRule="auto"/>
        <w:ind w:firstLineChars="176" w:firstLine="387"/>
        <w:rPr>
          <w:rFonts w:ascii="Times New Roman" w:hAnsi="Times New Roman" w:cs="Times New Roman"/>
          <w:sz w:val="22"/>
        </w:rPr>
      </w:pPr>
    </w:p>
    <w:p w14:paraId="0A129959"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A.4 Summary of alignment mini-review (</w:t>
      </w:r>
      <w:proofErr w:type="spellStart"/>
      <w:r w:rsidRPr="002B1BDF">
        <w:rPr>
          <w:rFonts w:ascii="Times New Roman" w:hAnsi="Times New Roman" w:cs="Times New Roman"/>
          <w:sz w:val="24"/>
          <w:szCs w:val="24"/>
        </w:rPr>
        <w:t>Xiaolong</w:t>
      </w:r>
      <w:proofErr w:type="spellEnd"/>
      <w:r w:rsidRPr="002B1BDF">
        <w:rPr>
          <w:rFonts w:ascii="Times New Roman" w:hAnsi="Times New Roman" w:cs="Times New Roman"/>
          <w:sz w:val="24"/>
          <w:szCs w:val="24"/>
        </w:rPr>
        <w:t xml:space="preserve"> Wang)</w:t>
      </w:r>
    </w:p>
    <w:p w14:paraId="0691B18B"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Fonts w:ascii="Times New Roman" w:hAnsi="Times New Roman" w:cs="Times New Roman"/>
          <w:sz w:val="22"/>
        </w:rPr>
        <w:t>A.4.2 Recommendations</w:t>
      </w:r>
      <w:r w:rsidRPr="002B1BDF">
        <w:rPr>
          <w:rFonts w:ascii="Times New Roman" w:hAnsi="Times New Roman" w:cs="Times New Roman"/>
          <w:sz w:val="22"/>
        </w:rPr>
        <w:br/>
      </w:r>
      <w:r w:rsidRPr="002B1BDF">
        <w:rPr>
          <w:rStyle w:val="fontstyle01"/>
          <w:rFonts w:ascii="Times New Roman" w:hAnsi="Times New Roman" w:cs="Times New Roman"/>
          <w:color w:val="auto"/>
          <w:sz w:val="22"/>
          <w:szCs w:val="22"/>
        </w:rPr>
        <w:t>1. Engage with more specialized institutions and companies to prepare the geoid model, and to conduct practical measurements;</w:t>
      </w:r>
    </w:p>
    <w:p w14:paraId="1E54DC8B"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bookmarkStart w:id="0" w:name="OLE_LINK1"/>
      <w:r w:rsidRPr="002B1BDF">
        <w:rPr>
          <w:rStyle w:val="fontstyle01"/>
          <w:rFonts w:ascii="Times New Roman" w:hAnsi="Times New Roman" w:cs="Times New Roman"/>
          <w:color w:val="auto"/>
          <w:sz w:val="22"/>
          <w:szCs w:val="22"/>
        </w:rPr>
        <w:t xml:space="preserve">Replay: </w:t>
      </w:r>
      <w:bookmarkEnd w:id="0"/>
      <w:r w:rsidRPr="002B1BDF">
        <w:rPr>
          <w:rStyle w:val="fontstyle01"/>
          <w:rFonts w:ascii="Times New Roman" w:hAnsi="Times New Roman" w:cs="Times New Roman"/>
          <w:color w:val="auto"/>
          <w:sz w:val="22"/>
          <w:szCs w:val="22"/>
        </w:rPr>
        <w:t>We are collaborating with Wuhan University, Information Engineering University, and the First Geodetic Survey Team of the Ministry of Natural Resources to conduct the geoid model research, they are very professional teams and have actual experiences in building the geoid model. We are preparing to carry out the practical measurements, but due to currently no financial support, it cannot be conducted.</w:t>
      </w:r>
    </w:p>
    <w:p w14:paraId="389D7911"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p>
    <w:p w14:paraId="0C3A6057"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 xml:space="preserve">2. Define, </w:t>
      </w:r>
      <w:bookmarkStart w:id="1" w:name="OLE_LINK6"/>
      <w:r w:rsidRPr="002B1BDF">
        <w:rPr>
          <w:rStyle w:val="fontstyle01"/>
          <w:rFonts w:ascii="Times New Roman" w:hAnsi="Times New Roman" w:cs="Times New Roman"/>
          <w:color w:val="auto"/>
          <w:sz w:val="22"/>
          <w:szCs w:val="22"/>
        </w:rPr>
        <w:t>materialize and measure</w:t>
      </w:r>
      <w:bookmarkEnd w:id="1"/>
      <w:r w:rsidRPr="002B1BDF">
        <w:rPr>
          <w:rStyle w:val="fontstyle01"/>
          <w:rFonts w:ascii="Times New Roman" w:hAnsi="Times New Roman" w:cs="Times New Roman"/>
          <w:color w:val="auto"/>
          <w:sz w:val="22"/>
          <w:szCs w:val="22"/>
        </w:rPr>
        <w:t xml:space="preserve"> the surface geodetic network; prepare the corresponding geodetic reference frames and the related transformations systems to be used for the civil engineering tender documents;</w:t>
      </w:r>
    </w:p>
    <w:p w14:paraId="368E90F2" w14:textId="77777777" w:rsidR="00406C66" w:rsidRPr="002B1BDF" w:rsidRDefault="00406C66" w:rsidP="00B21F92">
      <w:pPr>
        <w:spacing w:line="360" w:lineRule="auto"/>
        <w:ind w:firstLineChars="176" w:firstLine="387"/>
        <w:rPr>
          <w:rFonts w:ascii="Times New Roman" w:hAnsi="Times New Roman" w:cs="Times New Roman"/>
          <w:sz w:val="22"/>
        </w:rPr>
      </w:pPr>
      <w:bookmarkStart w:id="2" w:name="OLE_LINK7"/>
      <w:r w:rsidRPr="002B1BDF">
        <w:rPr>
          <w:rStyle w:val="fontstyle01"/>
          <w:rFonts w:ascii="Times New Roman" w:hAnsi="Times New Roman" w:cs="Times New Roman"/>
          <w:color w:val="auto"/>
          <w:sz w:val="22"/>
          <w:szCs w:val="22"/>
        </w:rPr>
        <w:t xml:space="preserve">Replay: </w:t>
      </w:r>
      <w:bookmarkEnd w:id="2"/>
      <w:r w:rsidRPr="002B1BDF">
        <w:rPr>
          <w:rStyle w:val="fontstyle01"/>
          <w:rFonts w:ascii="Times New Roman" w:hAnsi="Times New Roman" w:cs="Times New Roman"/>
          <w:color w:val="auto"/>
          <w:sz w:val="22"/>
          <w:szCs w:val="22"/>
        </w:rPr>
        <w:t xml:space="preserve">The surface geodetic network had been defined and </w:t>
      </w:r>
      <w:r w:rsidRPr="002B1BDF">
        <w:rPr>
          <w:rFonts w:ascii="Times New Roman" w:hAnsi="Times New Roman" w:cs="Times New Roman"/>
          <w:sz w:val="22"/>
        </w:rPr>
        <w:t xml:space="preserve">described in previous presentations: The 2023 International Workshop on the High Energy Circular Electron Positron </w:t>
      </w:r>
      <w:r w:rsidRPr="002B1BDF">
        <w:rPr>
          <w:rFonts w:ascii="Times New Roman" w:hAnsi="Times New Roman" w:cs="Times New Roman"/>
          <w:sz w:val="22"/>
        </w:rPr>
        <w:lastRenderedPageBreak/>
        <w:t xml:space="preserve">Collider </w:t>
      </w:r>
      <w:hyperlink r:id="rId7" w:history="1">
        <w:r w:rsidRPr="002B1BDF">
          <w:rPr>
            <w:rStyle w:val="a3"/>
            <w:rFonts w:ascii="Times New Roman" w:hAnsi="Times New Roman" w:cs="Times New Roman"/>
            <w:color w:val="auto"/>
            <w:sz w:val="22"/>
          </w:rPr>
          <w:t>https://indico.ihep.ac.cn/event/19316/</w:t>
        </w:r>
      </w:hyperlink>
      <w:r w:rsidRPr="002B1BDF">
        <w:rPr>
          <w:rFonts w:ascii="Times New Roman" w:hAnsi="Times New Roman" w:cs="Times New Roman"/>
          <w:sz w:val="22"/>
        </w:rPr>
        <w:t xml:space="preserve">  CEPC Alignment and installation logistics, and IAS Program on High Energy Physics (HEP 2024) </w:t>
      </w:r>
      <w:hyperlink r:id="rId8" w:history="1">
        <w:r w:rsidRPr="002B1BDF">
          <w:rPr>
            <w:rStyle w:val="a3"/>
            <w:rFonts w:ascii="Times New Roman" w:hAnsi="Times New Roman" w:cs="Times New Roman"/>
            <w:color w:val="auto"/>
            <w:sz w:val="22"/>
          </w:rPr>
          <w:t>https://indico.global/event/12246/</w:t>
        </w:r>
      </w:hyperlink>
      <w:r w:rsidRPr="002B1BDF">
        <w:rPr>
          <w:rFonts w:ascii="Times New Roman" w:hAnsi="Times New Roman" w:cs="Times New Roman"/>
          <w:sz w:val="22"/>
        </w:rPr>
        <w:t xml:space="preserve">  CEPC Large Scale Measurement, Precision Alignment and Efficient Installation Studies in EDR. Materialize and measurement should be carried out after the CEPC project been approved by the National Development and Reform Commission and the start of the actual project construction, it needs financial support, currently we have no funds to carry out this work. </w:t>
      </w:r>
    </w:p>
    <w:p w14:paraId="165B5541" w14:textId="77777777" w:rsidR="00406C66" w:rsidRPr="002B1BDF" w:rsidRDefault="00406C66" w:rsidP="00B21F92">
      <w:pPr>
        <w:spacing w:line="360" w:lineRule="auto"/>
        <w:ind w:firstLineChars="176" w:firstLine="387"/>
        <w:rPr>
          <w:rFonts w:ascii="Times New Roman" w:hAnsi="Times New Roman" w:cs="Times New Roman"/>
          <w:sz w:val="22"/>
        </w:rPr>
      </w:pPr>
    </w:p>
    <w:p w14:paraId="48E26113"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 xml:space="preserve">3. Finalize </w:t>
      </w:r>
      <w:bookmarkStart w:id="3" w:name="OLE_LINK8"/>
      <w:r w:rsidRPr="002B1BDF">
        <w:rPr>
          <w:rStyle w:val="fontstyle01"/>
          <w:rFonts w:ascii="Times New Roman" w:hAnsi="Times New Roman" w:cs="Times New Roman"/>
          <w:color w:val="auto"/>
          <w:sz w:val="22"/>
          <w:szCs w:val="22"/>
        </w:rPr>
        <w:t>the alignment strategy</w:t>
      </w:r>
      <w:bookmarkEnd w:id="3"/>
      <w:r w:rsidRPr="002B1BDF">
        <w:rPr>
          <w:rStyle w:val="fontstyle01"/>
          <w:rFonts w:ascii="Times New Roman" w:hAnsi="Times New Roman" w:cs="Times New Roman"/>
          <w:color w:val="auto"/>
          <w:sz w:val="22"/>
          <w:szCs w:val="22"/>
        </w:rPr>
        <w:t xml:space="preserve"> in the MDI area and start qualifying the proposed specific solutions.</w:t>
      </w:r>
    </w:p>
    <w:p w14:paraId="2FB2F42A"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Evaluate the radiation hardness of the multiline laser gap measurement system (as a back-up solution,</w:t>
      </w:r>
    </w:p>
    <w:p w14:paraId="7F4DB610"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capacitive based sensors could be considered);</w:t>
      </w:r>
    </w:p>
    <w:p w14:paraId="634E769A"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Replay: The alignment strategy will be refined with the iterative detailing of MDI design. The</w:t>
      </w:r>
      <w:r w:rsidRPr="002B1BDF">
        <w:rPr>
          <w:rFonts w:ascii="Times New Roman" w:hAnsi="Times New Roman" w:cs="Times New Roman"/>
          <w:sz w:val="22"/>
        </w:rPr>
        <w:t xml:space="preserve"> </w:t>
      </w:r>
      <w:r w:rsidRPr="002B1BDF">
        <w:rPr>
          <w:rStyle w:val="fontstyle01"/>
          <w:rFonts w:ascii="Times New Roman" w:hAnsi="Times New Roman" w:cs="Times New Roman"/>
          <w:color w:val="auto"/>
          <w:sz w:val="22"/>
          <w:szCs w:val="22"/>
        </w:rPr>
        <w:t>IARC committee member</w:t>
      </w:r>
      <w:r w:rsidRPr="002B1BDF">
        <w:rPr>
          <w:rFonts w:ascii="Times New Roman" w:hAnsi="Times New Roman" w:cs="Times New Roman"/>
          <w:sz w:val="22"/>
        </w:rPr>
        <w:t xml:space="preserve"> </w:t>
      </w:r>
      <w:proofErr w:type="spellStart"/>
      <w:r w:rsidRPr="002B1BDF">
        <w:rPr>
          <w:rStyle w:val="fontstyle01"/>
          <w:rFonts w:ascii="Times New Roman" w:hAnsi="Times New Roman" w:cs="Times New Roman"/>
          <w:color w:val="auto"/>
          <w:sz w:val="22"/>
          <w:szCs w:val="22"/>
        </w:rPr>
        <w:t>H´el`ene</w:t>
      </w:r>
      <w:proofErr w:type="spellEnd"/>
      <w:r w:rsidRPr="002B1BDF">
        <w:rPr>
          <w:rStyle w:val="fontstyle01"/>
          <w:rFonts w:ascii="Times New Roman" w:hAnsi="Times New Roman" w:cs="Times New Roman"/>
          <w:color w:val="auto"/>
          <w:sz w:val="22"/>
          <w:szCs w:val="22"/>
        </w:rPr>
        <w:t xml:space="preserve"> </w:t>
      </w:r>
      <w:proofErr w:type="spellStart"/>
      <w:r w:rsidRPr="002B1BDF">
        <w:rPr>
          <w:rStyle w:val="fontstyle01"/>
          <w:rFonts w:ascii="Times New Roman" w:hAnsi="Times New Roman" w:cs="Times New Roman"/>
          <w:color w:val="auto"/>
          <w:sz w:val="22"/>
          <w:szCs w:val="22"/>
        </w:rPr>
        <w:t>Mainaud</w:t>
      </w:r>
      <w:proofErr w:type="spellEnd"/>
      <w:r w:rsidRPr="002B1BDF">
        <w:rPr>
          <w:rStyle w:val="fontstyle01"/>
          <w:rFonts w:ascii="Times New Roman" w:hAnsi="Times New Roman" w:cs="Times New Roman"/>
          <w:color w:val="auto"/>
          <w:sz w:val="22"/>
          <w:szCs w:val="22"/>
        </w:rPr>
        <w:t xml:space="preserve"> Durand’s team (CERN) had ever performed the radiation hardness test of the multiline laser ranging system target and collimator for HL-LHC cryostat component monitor, result shows they can work in 10MGy, </w:t>
      </w:r>
      <w:hyperlink r:id="rId9" w:history="1">
        <w:r w:rsidRPr="002B1BDF">
          <w:rPr>
            <w:rStyle w:val="a3"/>
            <w:rFonts w:ascii="Times New Roman" w:hAnsi="Times New Roman" w:cs="Times New Roman"/>
            <w:color w:val="auto"/>
            <w:sz w:val="22"/>
          </w:rPr>
          <w:t>https://www.slac.stanford.edu/econf/C1810085/</w:t>
        </w:r>
      </w:hyperlink>
      <w:r w:rsidRPr="002B1BDF">
        <w:rPr>
          <w:rStyle w:val="fontstyle01"/>
          <w:rFonts w:ascii="Times New Roman" w:hAnsi="Times New Roman" w:cs="Times New Roman"/>
          <w:color w:val="auto"/>
          <w:sz w:val="22"/>
          <w:szCs w:val="22"/>
        </w:rPr>
        <w:t xml:space="preserve">  FREQUENCY SCANNING INTERFEROMETRY TO MONITOR THE POSITION OF ACCELERATORS COMPONENTS INSIDE THEIR  CRYOSTAT FOR THE HL-LHC PROJECT. According to the calculation of Haoyu Shi (CEPC MDI) the radiation at the cryostat is about 10</w:t>
      </w:r>
      <w:r w:rsidRPr="002B1BDF">
        <w:rPr>
          <w:rStyle w:val="fontstyle01"/>
          <w:rFonts w:ascii="Times New Roman" w:eastAsia="宋体" w:hAnsi="Times New Roman" w:cs="Times New Roman"/>
          <w:color w:val="auto"/>
          <w:sz w:val="22"/>
          <w:szCs w:val="22"/>
        </w:rPr>
        <w:t>～</w:t>
      </w:r>
      <w:r w:rsidRPr="002B1BDF">
        <w:rPr>
          <w:rStyle w:val="fontstyle01"/>
          <w:rFonts w:ascii="Times New Roman" w:hAnsi="Times New Roman" w:cs="Times New Roman"/>
          <w:color w:val="auto"/>
          <w:sz w:val="22"/>
          <w:szCs w:val="22"/>
        </w:rPr>
        <w:t xml:space="preserve">100 </w:t>
      </w:r>
      <w:proofErr w:type="spellStart"/>
      <w:r w:rsidRPr="002B1BDF">
        <w:rPr>
          <w:rStyle w:val="fontstyle01"/>
          <w:rFonts w:ascii="Times New Roman" w:hAnsi="Times New Roman" w:cs="Times New Roman"/>
          <w:color w:val="auto"/>
          <w:sz w:val="22"/>
          <w:szCs w:val="22"/>
        </w:rPr>
        <w:t>Gy</w:t>
      </w:r>
      <w:proofErr w:type="spellEnd"/>
      <w:r w:rsidRPr="002B1BDF">
        <w:rPr>
          <w:rStyle w:val="fontstyle01"/>
          <w:rFonts w:ascii="Times New Roman" w:hAnsi="Times New Roman" w:cs="Times New Roman"/>
          <w:color w:val="auto"/>
          <w:sz w:val="22"/>
          <w:szCs w:val="22"/>
        </w:rPr>
        <w:t xml:space="preserve">/year. Compared with laser ranging system, the capacitive based sensor is not so convenient due to it measures the distance between two sensor’s planes, the relative position and posture of the sensor’s plane are hard to determine. </w:t>
      </w:r>
    </w:p>
    <w:p w14:paraId="5428D646"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p>
    <w:p w14:paraId="3DB11D96"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4. Finalize the development and qualification of an automated measurement system to fulfill the alignment requirements in the arcs;</w:t>
      </w:r>
    </w:p>
    <w:p w14:paraId="4EC8DB62"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bookmarkStart w:id="4" w:name="OLE_LINK9"/>
      <w:r w:rsidRPr="002B1BDF">
        <w:rPr>
          <w:rStyle w:val="fontstyle01"/>
          <w:rFonts w:ascii="Times New Roman" w:hAnsi="Times New Roman" w:cs="Times New Roman"/>
          <w:color w:val="auto"/>
          <w:sz w:val="22"/>
          <w:szCs w:val="22"/>
        </w:rPr>
        <w:t xml:space="preserve">Replay: </w:t>
      </w:r>
      <w:bookmarkEnd w:id="4"/>
      <w:r w:rsidRPr="002B1BDF">
        <w:rPr>
          <w:rStyle w:val="fontstyle01"/>
          <w:rFonts w:ascii="Times New Roman" w:hAnsi="Times New Roman" w:cs="Times New Roman"/>
          <w:color w:val="auto"/>
          <w:sz w:val="22"/>
          <w:szCs w:val="22"/>
        </w:rPr>
        <w:t>OK. We will continue this research.</w:t>
      </w:r>
    </w:p>
    <w:p w14:paraId="0A951AEB"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p>
    <w:p w14:paraId="15365475"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 xml:space="preserve">5. Study the impact of tunnel temperature on the alignment of components between </w:t>
      </w:r>
      <w:r w:rsidRPr="002B1BDF">
        <w:rPr>
          <w:rStyle w:val="fontstyle01"/>
          <w:rFonts w:ascii="Times New Roman" w:hAnsi="Times New Roman" w:cs="Times New Roman"/>
          <w:color w:val="auto"/>
          <w:sz w:val="22"/>
          <w:szCs w:val="22"/>
        </w:rPr>
        <w:lastRenderedPageBreak/>
        <w:t>different stages (</w:t>
      </w:r>
      <w:bookmarkStart w:id="5" w:name="OLE_LINK10"/>
      <w:r w:rsidRPr="002B1BDF">
        <w:rPr>
          <w:rStyle w:val="fontstyle01"/>
          <w:rFonts w:ascii="Times New Roman" w:hAnsi="Times New Roman" w:cs="Times New Roman"/>
          <w:color w:val="auto"/>
          <w:sz w:val="22"/>
          <w:szCs w:val="22"/>
        </w:rPr>
        <w:t>installation, operation, maintenance</w:t>
      </w:r>
      <w:bookmarkEnd w:id="5"/>
      <w:r w:rsidRPr="002B1BDF">
        <w:rPr>
          <w:rStyle w:val="fontstyle01"/>
          <w:rFonts w:ascii="Times New Roman" w:hAnsi="Times New Roman" w:cs="Times New Roman"/>
          <w:color w:val="auto"/>
          <w:sz w:val="22"/>
          <w:szCs w:val="22"/>
        </w:rPr>
        <w:t>), and propose mitigation solutions;</w:t>
      </w:r>
    </w:p>
    <w:p w14:paraId="6052D0FD"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 xml:space="preserve">Replay: OK. </w:t>
      </w:r>
      <w:bookmarkStart w:id="6" w:name="OLE_LINK13"/>
      <w:r w:rsidRPr="002B1BDF">
        <w:rPr>
          <w:rStyle w:val="fontstyle01"/>
          <w:rFonts w:ascii="Times New Roman" w:hAnsi="Times New Roman" w:cs="Times New Roman"/>
          <w:color w:val="auto"/>
          <w:sz w:val="22"/>
          <w:szCs w:val="22"/>
        </w:rPr>
        <w:t xml:space="preserve">We will study the temperature impact by simulation and measurement experiment. The simulation method will be performed based on the material and structure design of the components and get the component center changes of </w:t>
      </w:r>
      <w:bookmarkStart w:id="7" w:name="OLE_LINK11"/>
      <w:r w:rsidRPr="002B1BDF">
        <w:rPr>
          <w:rStyle w:val="fontstyle01"/>
          <w:rFonts w:ascii="Times New Roman" w:hAnsi="Times New Roman" w:cs="Times New Roman"/>
          <w:color w:val="auto"/>
          <w:sz w:val="22"/>
          <w:szCs w:val="22"/>
        </w:rPr>
        <w:t>installation, operation and maintenance.</w:t>
      </w:r>
      <w:bookmarkEnd w:id="7"/>
      <w:r w:rsidRPr="002B1BDF">
        <w:rPr>
          <w:rStyle w:val="fontstyle01"/>
          <w:rFonts w:ascii="Times New Roman" w:hAnsi="Times New Roman" w:cs="Times New Roman"/>
          <w:color w:val="auto"/>
          <w:sz w:val="22"/>
          <w:szCs w:val="22"/>
        </w:rPr>
        <w:t xml:space="preserve"> The measurement experiment should be performed after the prototypes are available. </w:t>
      </w:r>
      <w:bookmarkStart w:id="8" w:name="_Hlk212453616"/>
      <w:bookmarkStart w:id="9" w:name="OLE_LINK12"/>
      <w:bookmarkEnd w:id="6"/>
      <w:r w:rsidRPr="002B1BDF">
        <w:rPr>
          <w:rStyle w:val="fontstyle01"/>
          <w:rFonts w:ascii="Times New Roman" w:hAnsi="Times New Roman" w:cs="Times New Roman"/>
          <w:color w:val="auto"/>
          <w:sz w:val="22"/>
          <w:szCs w:val="22"/>
        </w:rPr>
        <w:t>We plan to measure the component center positions in the temperatures</w:t>
      </w:r>
      <w:bookmarkEnd w:id="8"/>
      <w:r w:rsidRPr="002B1BDF">
        <w:rPr>
          <w:rStyle w:val="fontstyle01"/>
          <w:rFonts w:ascii="Times New Roman" w:hAnsi="Times New Roman" w:cs="Times New Roman"/>
          <w:color w:val="auto"/>
          <w:sz w:val="22"/>
          <w:szCs w:val="22"/>
        </w:rPr>
        <w:t xml:space="preserve"> of installation, operation and maintenance</w:t>
      </w:r>
      <w:bookmarkEnd w:id="9"/>
      <w:r w:rsidRPr="002B1BDF">
        <w:rPr>
          <w:rStyle w:val="fontstyle01"/>
          <w:rFonts w:ascii="Times New Roman" w:hAnsi="Times New Roman" w:cs="Times New Roman"/>
          <w:color w:val="auto"/>
          <w:sz w:val="22"/>
          <w:szCs w:val="22"/>
        </w:rPr>
        <w:t xml:space="preserve">. </w:t>
      </w:r>
      <w:bookmarkStart w:id="10" w:name="_Hlk212453928"/>
      <w:r w:rsidRPr="002B1BDF">
        <w:rPr>
          <w:rStyle w:val="fontstyle01"/>
          <w:rFonts w:ascii="Times New Roman" w:hAnsi="Times New Roman" w:cs="Times New Roman"/>
          <w:color w:val="auto"/>
          <w:sz w:val="22"/>
          <w:szCs w:val="22"/>
        </w:rPr>
        <w:t>After get the position change values, we plan to compensate it by intentional offset during</w:t>
      </w:r>
      <w:bookmarkEnd w:id="10"/>
      <w:r w:rsidRPr="002B1BDF">
        <w:rPr>
          <w:rStyle w:val="fontstyle01"/>
          <w:rFonts w:ascii="Times New Roman" w:hAnsi="Times New Roman" w:cs="Times New Roman"/>
          <w:color w:val="auto"/>
          <w:sz w:val="22"/>
          <w:szCs w:val="22"/>
        </w:rPr>
        <w:t xml:space="preserve"> the installation and maintenance.</w:t>
      </w:r>
    </w:p>
    <w:p w14:paraId="6428547F"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p>
    <w:p w14:paraId="7A3E7D20"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6. Express alignment errors according to international standards;</w:t>
      </w:r>
    </w:p>
    <w:p w14:paraId="4A533188"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Replay: OK. We will study it.</w:t>
      </w:r>
    </w:p>
    <w:p w14:paraId="74A00073" w14:textId="706B4C04" w:rsidR="00406C66" w:rsidRPr="002B1BDF" w:rsidRDefault="00406C66" w:rsidP="00B21F92">
      <w:pPr>
        <w:spacing w:line="360" w:lineRule="auto"/>
        <w:ind w:firstLineChars="176" w:firstLine="387"/>
        <w:rPr>
          <w:rFonts w:ascii="Times New Roman" w:eastAsiaTheme="minorEastAsia" w:hAnsi="Times New Roman" w:cs="Times New Roman"/>
          <w:sz w:val="22"/>
        </w:rPr>
      </w:pPr>
    </w:p>
    <w:p w14:paraId="5F50240C" w14:textId="2C587678" w:rsidR="00D76D00" w:rsidRPr="002B1BDF" w:rsidRDefault="00D76D00"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A.5 Summary of MDI mini-review (Sha Bai, Haoyu Shi)</w:t>
      </w:r>
    </w:p>
    <w:p w14:paraId="1627755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1: The choice of technology (</w:t>
      </w:r>
      <w:proofErr w:type="spellStart"/>
      <w:r w:rsidRPr="002B1BDF">
        <w:rPr>
          <w:rFonts w:ascii="Times New Roman" w:hAnsi="Times New Roman" w:cs="Times New Roman"/>
          <w:sz w:val="22"/>
        </w:rPr>
        <w:t>NbTi</w:t>
      </w:r>
      <w:proofErr w:type="spellEnd"/>
      <w:r w:rsidRPr="002B1BDF">
        <w:rPr>
          <w:rFonts w:ascii="Times New Roman" w:hAnsi="Times New Roman" w:cs="Times New Roman"/>
          <w:sz w:val="22"/>
        </w:rPr>
        <w:t>), method (direct winding CCT), aperture (40mm) and field gradient (140T/m) does not give sufficient margin for reliable operation. One or more of the above choices should be revisited.</w:t>
      </w:r>
    </w:p>
    <w:p w14:paraId="02CDCC8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Thanks. We will discuss and optimize the design of superconducting quadrupole magnets to give sufficient margin for reliable operation.</w:t>
      </w:r>
    </w:p>
    <w:p w14:paraId="2C2BE774" w14:textId="77777777" w:rsidR="00406C66" w:rsidRPr="002B1BDF" w:rsidRDefault="00406C66" w:rsidP="00B21F92">
      <w:pPr>
        <w:spacing w:line="360" w:lineRule="auto"/>
        <w:ind w:firstLineChars="176" w:firstLine="387"/>
        <w:rPr>
          <w:rFonts w:ascii="Times New Roman" w:hAnsi="Times New Roman" w:cs="Times New Roman"/>
          <w:sz w:val="22"/>
        </w:rPr>
      </w:pPr>
    </w:p>
    <w:p w14:paraId="2B5B1E8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2: Proceed with the construction of a final-focus quadrupole prototype.</w:t>
      </w:r>
    </w:p>
    <w:p w14:paraId="61AE8278" w14:textId="5D6A431C"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Sure. Research on key technologies of direct winding Q1a CCT quadrupole has begun, and we will proceed with the construction of a final-focus Q1a quadrupole prototype.</w:t>
      </w:r>
    </w:p>
    <w:p w14:paraId="7ED03199" w14:textId="77777777" w:rsidR="00406C66" w:rsidRPr="002B1BDF" w:rsidRDefault="00406C66" w:rsidP="00B21F92">
      <w:pPr>
        <w:spacing w:line="360" w:lineRule="auto"/>
        <w:ind w:firstLineChars="176" w:firstLine="387"/>
        <w:rPr>
          <w:rFonts w:ascii="Times New Roman" w:hAnsi="Times New Roman" w:cs="Times New Roman"/>
          <w:sz w:val="22"/>
        </w:rPr>
      </w:pPr>
    </w:p>
    <w:p w14:paraId="140BAC0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3: Verify with the optics group that a single BPM in this very sensitive region would be sufficient for reliable optics tuning.</w:t>
      </w:r>
    </w:p>
    <w:p w14:paraId="1ED33C52" w14:textId="40738132"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Thank you for your comment on BPM placement for optics tuning. In our current study, BPMs are placed at all quadrupole magnets for correction. We agree that optimization is needed and will prioritize evaluating the optimal BPM count and placement in future work.</w:t>
      </w:r>
    </w:p>
    <w:p w14:paraId="28BDDCF9" w14:textId="77777777" w:rsidR="00406C66" w:rsidRPr="002B1BDF" w:rsidRDefault="00406C66" w:rsidP="00B21F92">
      <w:pPr>
        <w:spacing w:line="360" w:lineRule="auto"/>
        <w:ind w:firstLineChars="176" w:firstLine="387"/>
        <w:rPr>
          <w:rFonts w:ascii="Times New Roman" w:hAnsi="Times New Roman" w:cs="Times New Roman"/>
          <w:sz w:val="22"/>
        </w:rPr>
      </w:pPr>
    </w:p>
    <w:p w14:paraId="16D3055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4: Investigate the possibility of separating Q1 and Q2 quadrupoles by a sufficient distance, so as to split the cryostat in two individual cryostats, reducing the cantilevered length of the system and allowing a BPM to be installed between cryostats;</w:t>
      </w:r>
    </w:p>
    <w:p w14:paraId="38819082" w14:textId="138E5A25"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We will explore the possibility of separation, and then proceed with iterative optimization involving lattice, magnets, mechanics, and cryogenics. If the separation is too wide, it will lead to an increase in the aperture of Q2. Physically speaking, the horizontal chromaticity will increase, and although the horizontal chromaticity itself is not large, it still needs to be studied.</w:t>
      </w:r>
    </w:p>
    <w:p w14:paraId="5D91AF41" w14:textId="77777777" w:rsidR="00406C66" w:rsidRPr="002B1BDF" w:rsidRDefault="00406C66" w:rsidP="00B21F92">
      <w:pPr>
        <w:spacing w:line="360" w:lineRule="auto"/>
        <w:ind w:firstLineChars="176" w:firstLine="387"/>
        <w:rPr>
          <w:rFonts w:ascii="Times New Roman" w:hAnsi="Times New Roman" w:cs="Times New Roman"/>
          <w:sz w:val="22"/>
        </w:rPr>
      </w:pPr>
    </w:p>
    <w:p w14:paraId="38FD3D4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5: Further investigate whether the trapped HOMs found in simulations need to be damped;</w:t>
      </w:r>
    </w:p>
    <w:p w14:paraId="6623F55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Answer: </w:t>
      </w:r>
      <w:r w:rsidRPr="002B1BDF">
        <w:rPr>
          <w:rFonts w:ascii="Times New Roman" w:hAnsi="Times New Roman" w:cs="Times New Roman"/>
          <w:noProof/>
          <w:sz w:val="22"/>
        </w:rPr>
        <w:drawing>
          <wp:inline distT="0" distB="0" distL="0" distR="0" wp14:anchorId="3D774295" wp14:editId="234229EB">
            <wp:extent cx="5227608" cy="2564264"/>
            <wp:effectExtent l="19050" t="19050" r="11430" b="266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rotWithShape="1">
                    <a:blip r:embed="rId10" cstate="print">
                      <a:extLst>
                        <a:ext uri="{28A0092B-C50C-407E-A947-70E740481C1C}">
                          <a14:useLocalDpi xmlns:a14="http://schemas.microsoft.com/office/drawing/2010/main" val="0"/>
                        </a:ext>
                      </a:extLst>
                    </a:blip>
                    <a:srcRect r="9827"/>
                    <a:stretch/>
                  </pic:blipFill>
                  <pic:spPr>
                    <a:xfrm>
                      <a:off x="0" y="0"/>
                      <a:ext cx="5714900" cy="2803292"/>
                    </a:xfrm>
                    <a:prstGeom prst="rect">
                      <a:avLst/>
                    </a:prstGeom>
                    <a:ln w="25400">
                      <a:solidFill>
                        <a:schemeClr val="bg1"/>
                      </a:solidFill>
                    </a:ln>
                  </pic:spPr>
                </pic:pic>
              </a:graphicData>
            </a:graphic>
          </wp:inline>
        </w:drawing>
      </w:r>
    </w:p>
    <w:p w14:paraId="0C88588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The frequency of trapped mode in beam pipe of MDI region is about 7.9 GHz, shown in the figure of impedance distribution) which can cause head power of 580w corresponding the power density 1.03W/cm</w:t>
      </w:r>
      <w:r w:rsidRPr="002B1BDF">
        <w:rPr>
          <w:rFonts w:ascii="Times New Roman" w:hAnsi="Times New Roman" w:cs="Times New Roman"/>
          <w:sz w:val="22"/>
          <w:vertAlign w:val="superscript"/>
        </w:rPr>
        <w:t>2</w:t>
      </w:r>
      <w:r w:rsidRPr="002B1BDF">
        <w:rPr>
          <w:rFonts w:ascii="Times New Roman" w:hAnsi="Times New Roman" w:cs="Times New Roman"/>
          <w:sz w:val="22"/>
        </w:rPr>
        <w:t>. The source of this HOM is the crotch of chamber. We also consider some methods to eliminate or absorb the mode. One possible scheme is to install a HOM absorber in in the crotch such as FCC-</w:t>
      </w:r>
      <w:proofErr w:type="spellStart"/>
      <w:r w:rsidRPr="002B1BDF">
        <w:rPr>
          <w:rFonts w:ascii="Times New Roman" w:hAnsi="Times New Roman" w:cs="Times New Roman"/>
          <w:sz w:val="22"/>
        </w:rPr>
        <w:t>ee</w:t>
      </w:r>
      <w:proofErr w:type="spellEnd"/>
      <w:r w:rsidRPr="002B1BDF">
        <w:rPr>
          <w:rFonts w:ascii="Times New Roman" w:hAnsi="Times New Roman" w:cs="Times New Roman"/>
          <w:sz w:val="22"/>
        </w:rPr>
        <w:t xml:space="preserve">. </w:t>
      </w:r>
    </w:p>
    <w:p w14:paraId="65B852C2" w14:textId="77777777" w:rsidR="00406C66" w:rsidRPr="002B1BDF" w:rsidRDefault="00406C66" w:rsidP="00B21F92">
      <w:pPr>
        <w:spacing w:line="360" w:lineRule="auto"/>
        <w:ind w:firstLineChars="176" w:firstLine="387"/>
        <w:rPr>
          <w:rFonts w:ascii="Times New Roman" w:hAnsi="Times New Roman" w:cs="Times New Roman"/>
          <w:sz w:val="22"/>
        </w:rPr>
      </w:pPr>
    </w:p>
    <w:p w14:paraId="6B4BCD0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Recommendation 6: A further study of SR power distribution, including the effects of </w:t>
      </w:r>
      <w:r w:rsidRPr="002B1BDF">
        <w:rPr>
          <w:rFonts w:ascii="Times New Roman" w:hAnsi="Times New Roman" w:cs="Times New Roman"/>
          <w:sz w:val="22"/>
        </w:rPr>
        <w:lastRenderedPageBreak/>
        <w:t>beam-pipe fabrication errors and misalignments, needs to be conducted.</w:t>
      </w:r>
    </w:p>
    <w:p w14:paraId="56050BE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Answer: Sure. We plan to perform such study based on the lattice with correction. Previously, we performed the SR power estimation including some of the error case like the beam orbit with an offset of 5 mm and angle offset of 5 </w:t>
      </w:r>
      <w:proofErr w:type="spellStart"/>
      <w:r w:rsidRPr="002B1BDF">
        <w:rPr>
          <w:rFonts w:ascii="Times New Roman" w:hAnsi="Times New Roman" w:cs="Times New Roman"/>
          <w:sz w:val="22"/>
        </w:rPr>
        <w:t>mrad</w:t>
      </w:r>
      <w:proofErr w:type="spellEnd"/>
      <w:r w:rsidRPr="002B1BDF">
        <w:rPr>
          <w:rFonts w:ascii="Times New Roman" w:hAnsi="Times New Roman" w:cs="Times New Roman"/>
          <w:sz w:val="22"/>
        </w:rPr>
        <w:t>. However, we learnt that the effect should not considered at the IR only, but should be systemically considered, therefore we plan to put the effect of the beam-pipe fabrication errors and misalignments integrated with the study of beam orbit correction, and perform the simulation based on such lattices, to get the map of the SR power distribution.</w:t>
      </w:r>
    </w:p>
    <w:p w14:paraId="1AA6D46C" w14:textId="77777777" w:rsidR="00406C66" w:rsidRPr="002B1BDF" w:rsidRDefault="00406C66" w:rsidP="00B21F92">
      <w:pPr>
        <w:spacing w:line="360" w:lineRule="auto"/>
        <w:ind w:firstLineChars="176" w:firstLine="387"/>
        <w:rPr>
          <w:rFonts w:ascii="Times New Roman" w:hAnsi="Times New Roman" w:cs="Times New Roman"/>
          <w:sz w:val="22"/>
        </w:rPr>
      </w:pPr>
    </w:p>
    <w:p w14:paraId="0D2FE07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7: Build a mock-up IP beam pipe and validate the performance of the cooling strategy;</w:t>
      </w:r>
    </w:p>
    <w:p w14:paraId="00C4108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We plan to build a prototype made by Aluminum when all the design is fixed.</w:t>
      </w:r>
    </w:p>
    <w:p w14:paraId="7CBABAD8" w14:textId="77777777" w:rsidR="00406C66" w:rsidRPr="002B1BDF" w:rsidRDefault="00406C66" w:rsidP="00B21F92">
      <w:pPr>
        <w:spacing w:line="360" w:lineRule="auto"/>
        <w:ind w:firstLineChars="176" w:firstLine="387"/>
        <w:rPr>
          <w:rFonts w:ascii="Times New Roman" w:hAnsi="Times New Roman" w:cs="Times New Roman"/>
          <w:sz w:val="22"/>
        </w:rPr>
      </w:pPr>
    </w:p>
    <w:p w14:paraId="229EEC5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8: The radiation tolerance of each sensor component used in the TDR detector should be carefully assessed and compared with beam-loss simulation results to determine the safety margins of the estimated beam background rates.</w:t>
      </w:r>
    </w:p>
    <w:p w14:paraId="45DD1B4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Sure. Currently, we presented the results in the TDR of reference detector with a safety factor of 2. In the next step, we plan to get the radiation tolerance sub-detector by sub-detector, then calculate the safety margin based on current simulation. However, since current results is based on the bare lattice and ideal beam assumption, we need to also perform the simulation based on the lattice with correction and re-perform the estimation.</w:t>
      </w:r>
    </w:p>
    <w:p w14:paraId="4E6C0E37" w14:textId="77777777" w:rsidR="00406C66" w:rsidRPr="002B1BDF" w:rsidRDefault="00406C66" w:rsidP="00B21F92">
      <w:pPr>
        <w:spacing w:line="360" w:lineRule="auto"/>
        <w:ind w:firstLineChars="176" w:firstLine="387"/>
        <w:rPr>
          <w:rFonts w:ascii="Times New Roman" w:hAnsi="Times New Roman" w:cs="Times New Roman"/>
          <w:sz w:val="22"/>
        </w:rPr>
      </w:pPr>
    </w:p>
    <w:p w14:paraId="226A404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Recommendation 9: The committee asks that the mini-review recommendations be addressed at the next meeting of the IARC.</w:t>
      </w:r>
    </w:p>
    <w:p w14:paraId="612FC32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Answer: OK, we will do that.</w:t>
      </w:r>
    </w:p>
    <w:p w14:paraId="005E51DD" w14:textId="77777777" w:rsidR="00406C66" w:rsidRPr="002B1BDF" w:rsidRDefault="00406C66" w:rsidP="00B21F92">
      <w:pPr>
        <w:spacing w:line="360" w:lineRule="auto"/>
        <w:ind w:firstLineChars="176" w:firstLine="387"/>
        <w:rPr>
          <w:rFonts w:ascii="Times New Roman" w:hAnsi="Times New Roman" w:cs="Times New Roman"/>
          <w:sz w:val="22"/>
        </w:rPr>
      </w:pPr>
    </w:p>
    <w:p w14:paraId="2709F653"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 xml:space="preserve">A.6 Summary of Booster dipole </w:t>
      </w:r>
      <w:proofErr w:type="spellStart"/>
      <w:r w:rsidRPr="002B1BDF">
        <w:rPr>
          <w:rFonts w:ascii="Times New Roman" w:hAnsi="Times New Roman" w:cs="Times New Roman"/>
          <w:sz w:val="24"/>
          <w:szCs w:val="24"/>
        </w:rPr>
        <w:t>magnet+sextupole</w:t>
      </w:r>
      <w:proofErr w:type="spellEnd"/>
      <w:r w:rsidRPr="002B1BDF">
        <w:rPr>
          <w:rFonts w:ascii="Times New Roman" w:hAnsi="Times New Roman" w:cs="Times New Roman"/>
          <w:sz w:val="24"/>
          <w:szCs w:val="24"/>
        </w:rPr>
        <w:t xml:space="preserve"> mini-review (Dou Wang)</w:t>
      </w:r>
    </w:p>
    <w:p w14:paraId="443BA42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A.6.1 Comments</w:t>
      </w:r>
    </w:p>
    <w:p w14:paraId="3F15F38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lastRenderedPageBreak/>
        <w:t xml:space="preserve">Following the recommendation of the IARC committee in 2024, a mini-review on this topic was held on May 29th, chaired by Dr. Mika </w:t>
      </w:r>
      <w:proofErr w:type="spellStart"/>
      <w:r w:rsidRPr="002B1BDF">
        <w:rPr>
          <w:rFonts w:ascii="Times New Roman" w:hAnsi="Times New Roman" w:cs="Times New Roman"/>
          <w:sz w:val="22"/>
        </w:rPr>
        <w:t>Masuzawa</w:t>
      </w:r>
      <w:proofErr w:type="spellEnd"/>
      <w:r w:rsidRPr="002B1BDF">
        <w:rPr>
          <w:rFonts w:ascii="Times New Roman" w:hAnsi="Times New Roman" w:cs="Times New Roman"/>
          <w:sz w:val="22"/>
        </w:rPr>
        <w:t xml:space="preserve"> (KEK).</w:t>
      </w:r>
    </w:p>
    <w:p w14:paraId="482CE0E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The mini-review committee has supported the decision of the CEPC team to adopt the combined dipole-</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scheme, based on careful consideration of power consumption, manufacturing feasibility, and cost </w:t>
      </w:r>
      <w:proofErr w:type="spellStart"/>
      <w:r w:rsidRPr="002B1BDF">
        <w:rPr>
          <w:rFonts w:ascii="Times New Roman" w:hAnsi="Times New Roman" w:cs="Times New Roman"/>
          <w:sz w:val="22"/>
        </w:rPr>
        <w:t>efffciency</w:t>
      </w:r>
      <w:proofErr w:type="spellEnd"/>
      <w:r w:rsidRPr="002B1BDF">
        <w:rPr>
          <w:rFonts w:ascii="Times New Roman" w:hAnsi="Times New Roman" w:cs="Times New Roman"/>
          <w:sz w:val="22"/>
        </w:rPr>
        <w:t>. However, both the mini-review committee and the CEPC team acknowledged the importance of continued validation through simulation, prototyping, and alignment studies to ensure a successful implementation in the Booster ring.</w:t>
      </w:r>
    </w:p>
    <w:p w14:paraId="7CBBF93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Four presentations were given during the mini-review:</w:t>
      </w:r>
    </w:p>
    <w:p w14:paraId="5254BF3F" w14:textId="77777777" w:rsidR="00406C66" w:rsidRPr="002B1BDF" w:rsidRDefault="00406C66" w:rsidP="00B21F92">
      <w:pPr>
        <w:spacing w:line="360" w:lineRule="auto"/>
        <w:ind w:leftChars="129" w:left="310" w:firstLineChars="176" w:firstLine="387"/>
        <w:rPr>
          <w:rFonts w:ascii="Times New Roman" w:hAnsi="Times New Roman" w:cs="Times New Roman"/>
          <w:sz w:val="22"/>
        </w:rPr>
      </w:pPr>
      <w:r w:rsidRPr="002B1BDF">
        <w:rPr>
          <w:rFonts w:ascii="Times New Roman" w:hAnsi="Times New Roman" w:cs="Times New Roman"/>
          <w:sz w:val="22"/>
        </w:rPr>
        <w:t>• Booster design and philosophy of combined dipole magnets;</w:t>
      </w:r>
    </w:p>
    <w:p w14:paraId="1839AEED" w14:textId="77777777" w:rsidR="00406C66" w:rsidRPr="002B1BDF" w:rsidRDefault="00406C66" w:rsidP="00B21F92">
      <w:pPr>
        <w:spacing w:line="360" w:lineRule="auto"/>
        <w:ind w:leftChars="129" w:left="310" w:firstLineChars="176" w:firstLine="387"/>
        <w:rPr>
          <w:rFonts w:ascii="Times New Roman" w:hAnsi="Times New Roman" w:cs="Times New Roman"/>
          <w:sz w:val="22"/>
        </w:rPr>
      </w:pPr>
      <w:r w:rsidRPr="002B1BDF">
        <w:rPr>
          <w:rFonts w:ascii="Times New Roman" w:hAnsi="Times New Roman" w:cs="Times New Roman"/>
          <w:sz w:val="22"/>
        </w:rPr>
        <w:t>• Design and production tolerance analysis of the CEPC Booster dipole-</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combined magnets;</w:t>
      </w:r>
    </w:p>
    <w:p w14:paraId="77F8882B" w14:textId="77777777" w:rsidR="00406C66" w:rsidRPr="002B1BDF" w:rsidRDefault="00406C66" w:rsidP="00B21F92">
      <w:pPr>
        <w:spacing w:line="360" w:lineRule="auto"/>
        <w:ind w:leftChars="129" w:left="310" w:firstLineChars="176" w:firstLine="387"/>
        <w:rPr>
          <w:rFonts w:ascii="Times New Roman" w:hAnsi="Times New Roman" w:cs="Times New Roman"/>
          <w:sz w:val="22"/>
        </w:rPr>
      </w:pPr>
      <w:r w:rsidRPr="002B1BDF">
        <w:rPr>
          <w:rFonts w:ascii="Times New Roman" w:hAnsi="Times New Roman" w:cs="Times New Roman"/>
          <w:sz w:val="22"/>
        </w:rPr>
        <w:t>• Alignment scheme and analysis of the CEPC Booster dipole-</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combined magnets;</w:t>
      </w:r>
    </w:p>
    <w:p w14:paraId="148CE42B" w14:textId="77777777" w:rsidR="00406C66" w:rsidRPr="002B1BDF" w:rsidRDefault="00406C66" w:rsidP="00B21F92">
      <w:pPr>
        <w:spacing w:line="360" w:lineRule="auto"/>
        <w:ind w:leftChars="129" w:left="310" w:firstLineChars="176" w:firstLine="387"/>
        <w:rPr>
          <w:rFonts w:ascii="Times New Roman" w:hAnsi="Times New Roman" w:cs="Times New Roman"/>
          <w:sz w:val="22"/>
        </w:rPr>
      </w:pPr>
      <w:r w:rsidRPr="002B1BDF">
        <w:rPr>
          <w:rFonts w:ascii="Times New Roman" w:hAnsi="Times New Roman" w:cs="Times New Roman"/>
          <w:sz w:val="22"/>
        </w:rPr>
        <w:t>• CEPC booster error analysis and corrections.</w:t>
      </w:r>
    </w:p>
    <w:p w14:paraId="7C19F38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Many recommendations can be found in the report issued after the mini-review. This committee endorses them all. However, it should be noted that the presentation at this IARC did not address these recommendations, except for two: a change in coordinate system was made in the tracking program APES, and the installation and alignment task was reported in a dedicated talk. The other recommendations were only listed as back-up material.</w:t>
      </w:r>
    </w:p>
    <w:p w14:paraId="0AA14F5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A.6.2 Recommendations</w:t>
      </w:r>
    </w:p>
    <w:p w14:paraId="696CFA9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 The committee would like the mini-review recommendations to be fully addressed at the next meeting of the IARC.</w:t>
      </w:r>
      <w:r w:rsidRPr="002B1BDF">
        <w:rPr>
          <w:rFonts w:ascii="Times New Roman" w:hAnsi="Times New Roman" w:cs="Times New Roman"/>
          <w:sz w:val="22"/>
        </w:rPr>
        <w:cr/>
      </w:r>
    </w:p>
    <w:p w14:paraId="14D67216" w14:textId="4209D8B6"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Here are the answers of the mini-review recommendations:</w:t>
      </w:r>
    </w:p>
    <w:p w14:paraId="01E379CE" w14:textId="77777777" w:rsidR="00406C66" w:rsidRPr="002B1BDF" w:rsidRDefault="00406C66" w:rsidP="00B21F92">
      <w:pPr>
        <w:spacing w:line="360" w:lineRule="auto"/>
        <w:ind w:firstLineChars="176" w:firstLine="387"/>
        <w:rPr>
          <w:rFonts w:ascii="Times New Roman" w:hAnsi="Times New Roman" w:cs="Times New Roman"/>
          <w:sz w:val="22"/>
        </w:rPr>
      </w:pPr>
    </w:p>
    <w:p w14:paraId="0EC4961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2-1 CEPC booster design and philosophy of combined dipole magnets</w:t>
      </w:r>
    </w:p>
    <w:p w14:paraId="26BE204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6E86E26"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Recommendations</w:t>
      </w:r>
    </w:p>
    <w:p w14:paraId="7DD6906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B6EAF23" w14:textId="77777777" w:rsidR="00406C66" w:rsidRPr="002B1BDF" w:rsidRDefault="00406C66" w:rsidP="00B21F92">
      <w:pPr>
        <w:numPr>
          <w:ilvl w:val="0"/>
          <w:numId w:val="2"/>
        </w:numPr>
        <w:spacing w:line="360" w:lineRule="auto"/>
        <w:ind w:left="1" w:hanging="1"/>
        <w:rPr>
          <w:rFonts w:ascii="Times New Roman" w:hAnsi="Times New Roman" w:cs="Times New Roman"/>
          <w:sz w:val="22"/>
        </w:rPr>
      </w:pPr>
      <w:r w:rsidRPr="002B1BDF">
        <w:rPr>
          <w:rFonts w:ascii="Times New Roman" w:hAnsi="Times New Roman" w:cs="Times New Roman"/>
          <w:sz w:val="22"/>
        </w:rPr>
        <w:lastRenderedPageBreak/>
        <w:t xml:space="preserve">The combined magnet is modeled using ANG and K2 in SAD, but reviewers recommend transitioning to K0 and K2 in a Cartesian coordinate system for more realistic simulations. </w:t>
      </w:r>
    </w:p>
    <w:p w14:paraId="5041A4F6"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Yes. We fully agree with this comment. After the Mini-review meeting, we tried new model for the combined magnets using K0 and K2 with IHEP newly developed code APES. By this way, the accurate offset value of combined magnets to correct the chord-arc deviation (get zero integrated quadrupoles field) has been found out. After canceling the integrated quadrupole field in the combined dipoles, the local beta deviation due to the combined </w:t>
      </w:r>
      <w:proofErr w:type="spellStart"/>
      <w:r w:rsidRPr="002B1BDF">
        <w:rPr>
          <w:rFonts w:ascii="Times New Roman" w:hAnsi="Times New Roman" w:cs="Times New Roman"/>
          <w:sz w:val="22"/>
          <w14:ligatures w14:val="standardContextual"/>
        </w:rPr>
        <w:t>sextupole</w:t>
      </w:r>
      <w:proofErr w:type="spellEnd"/>
      <w:r w:rsidRPr="002B1BDF">
        <w:rPr>
          <w:rFonts w:ascii="Times New Roman" w:hAnsi="Times New Roman" w:cs="Times New Roman"/>
          <w:sz w:val="22"/>
          <w14:ligatures w14:val="standardContextual"/>
        </w:rPr>
        <w:t xml:space="preserve"> field on the bending magnets is negligible.</w:t>
      </w:r>
    </w:p>
    <w:p w14:paraId="016243A5"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p>
    <w:p w14:paraId="31C9AEFD" w14:textId="77777777" w:rsidR="00406C66" w:rsidRPr="002B1BDF" w:rsidRDefault="00406C66" w:rsidP="00B21F92">
      <w:pPr>
        <w:numPr>
          <w:ilvl w:val="0"/>
          <w:numId w:val="2"/>
        </w:numPr>
        <w:spacing w:line="360" w:lineRule="auto"/>
        <w:ind w:left="1" w:hanging="1"/>
        <w:rPr>
          <w:rFonts w:ascii="Times New Roman" w:hAnsi="Times New Roman" w:cs="Times New Roman"/>
          <w:sz w:val="22"/>
          <w14:ligatures w14:val="standardContextual"/>
        </w:rPr>
      </w:pPr>
      <w:r w:rsidRPr="002B1BDF">
        <w:rPr>
          <w:rFonts w:ascii="Times New Roman" w:hAnsi="Times New Roman" w:cs="Times New Roman"/>
          <w:sz w:val="22"/>
        </w:rPr>
        <w:t xml:space="preserve">Natural chromaticity must be recalculated with all independent </w:t>
      </w:r>
      <w:proofErr w:type="spellStart"/>
      <w:r w:rsidRPr="002B1BDF">
        <w:rPr>
          <w:rFonts w:ascii="Times New Roman" w:hAnsi="Times New Roman" w:cs="Times New Roman"/>
          <w:sz w:val="22"/>
        </w:rPr>
        <w:t>sextupoles</w:t>
      </w:r>
      <w:proofErr w:type="spellEnd"/>
      <w:r w:rsidRPr="002B1BDF">
        <w:rPr>
          <w:rFonts w:ascii="Times New Roman" w:hAnsi="Times New Roman" w:cs="Times New Roman"/>
          <w:sz w:val="22"/>
        </w:rPr>
        <w:t xml:space="preserve"> turned off. </w:t>
      </w:r>
      <w:r w:rsidRPr="002B1BDF">
        <w:rPr>
          <w:rFonts w:ascii="Times New Roman" w:hAnsi="Times New Roman" w:cs="Times New Roman"/>
          <w:sz w:val="22"/>
          <w14:ligatures w14:val="standardContextual"/>
        </w:rPr>
        <w:t xml:space="preserve">An acceptable momentum spread at injection must be estimated. </w:t>
      </w:r>
    </w:p>
    <w:p w14:paraId="214AF389"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The Natural chromaticity in the Booster parameter table was calculated without the combined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on the dipoles and the independent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In fact, the combined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w:t>
      </w:r>
      <w:proofErr w:type="spellStart"/>
      <w:r w:rsidRPr="002B1BDF">
        <w:rPr>
          <w:rFonts w:ascii="Times New Roman" w:hAnsi="Times New Roman" w:cs="Times New Roman"/>
          <w:sz w:val="22"/>
          <w14:ligatures w14:val="standardContextual"/>
        </w:rPr>
        <w:t>can not</w:t>
      </w:r>
      <w:proofErr w:type="spellEnd"/>
      <w:r w:rsidRPr="002B1BDF">
        <w:rPr>
          <w:rFonts w:ascii="Times New Roman" w:hAnsi="Times New Roman" w:cs="Times New Roman"/>
          <w:sz w:val="22"/>
          <w14:ligatures w14:val="standardContextual"/>
        </w:rPr>
        <w:t xml:space="preserve"> be turned off because they are fixed on the dipoles. The strength of the combined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have been designed to make sure the chromaticity of booster is zero.  When we include the real machine errors, there may be a little bit residual chromaticity. </w:t>
      </w:r>
      <w:proofErr w:type="gramStart"/>
      <w:r w:rsidRPr="002B1BDF">
        <w:rPr>
          <w:rFonts w:ascii="Times New Roman" w:hAnsi="Times New Roman" w:cs="Times New Roman"/>
          <w:sz w:val="22"/>
          <w14:ligatures w14:val="standardContextual"/>
        </w:rPr>
        <w:t>So</w:t>
      </w:r>
      <w:proofErr w:type="gramEnd"/>
      <w:r w:rsidRPr="002B1BDF">
        <w:rPr>
          <w:rFonts w:ascii="Times New Roman" w:hAnsi="Times New Roman" w:cs="Times New Roman"/>
          <w:sz w:val="22"/>
          <w14:ligatures w14:val="standardContextual"/>
        </w:rPr>
        <w:t xml:space="preserve"> the independent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are only used for the small chromaticity correction due to the possible machine errors. The real particle distribution from </w:t>
      </w:r>
      <w:proofErr w:type="spellStart"/>
      <w:r w:rsidRPr="002B1BDF">
        <w:rPr>
          <w:rFonts w:ascii="Times New Roman" w:hAnsi="Times New Roman" w:cs="Times New Roman"/>
          <w:sz w:val="22"/>
          <w14:ligatures w14:val="standardContextual"/>
        </w:rPr>
        <w:t>Linac</w:t>
      </w:r>
      <w:proofErr w:type="spellEnd"/>
      <w:r w:rsidRPr="002B1BDF">
        <w:rPr>
          <w:rFonts w:ascii="Times New Roman" w:hAnsi="Times New Roman" w:cs="Times New Roman"/>
          <w:sz w:val="22"/>
          <w14:ligatures w14:val="standardContextual"/>
        </w:rPr>
        <w:t xml:space="preserve"> injector has been tracked in the Booster and the current results show that CEPC booster has enough energy acceptance for injection.</w:t>
      </w:r>
    </w:p>
    <w:p w14:paraId="536D82A8"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p>
    <w:p w14:paraId="2B3A4BD9" w14:textId="77777777" w:rsidR="00406C66" w:rsidRPr="002B1BDF" w:rsidRDefault="00406C66" w:rsidP="00B21F92">
      <w:pPr>
        <w:numPr>
          <w:ilvl w:val="0"/>
          <w:numId w:val="2"/>
        </w:numPr>
        <w:spacing w:line="360" w:lineRule="auto"/>
        <w:ind w:left="1" w:hanging="1"/>
        <w:rPr>
          <w:rFonts w:ascii="Times New Roman" w:hAnsi="Times New Roman" w:cs="Times New Roman"/>
          <w:sz w:val="22"/>
        </w:rPr>
      </w:pPr>
      <w:r w:rsidRPr="002B1BDF">
        <w:rPr>
          <w:rFonts w:ascii="Times New Roman" w:hAnsi="Times New Roman" w:cs="Times New Roman"/>
          <w:sz w:val="22"/>
        </w:rPr>
        <w:t xml:space="preserve">Ramp-up/down orbit changes must preserve </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contributions without increasing beam emittance or losses. Simulations of this behavior are needed. </w:t>
      </w:r>
    </w:p>
    <w:p w14:paraId="767C99B2"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Yes. We fully agree with this comment. This kind of simulations are needed and we are trying to do this kind of simulations by in house code (APES).</w:t>
      </w:r>
    </w:p>
    <w:p w14:paraId="25214803" w14:textId="77777777" w:rsidR="00406C66" w:rsidRPr="002B1BDF" w:rsidRDefault="00406C66" w:rsidP="00B21F92">
      <w:pPr>
        <w:spacing w:line="360" w:lineRule="auto"/>
        <w:ind w:left="1" w:hanging="1"/>
        <w:rPr>
          <w:rFonts w:ascii="Times New Roman" w:hAnsi="Times New Roman" w:cs="Times New Roman"/>
          <w:sz w:val="22"/>
          <w14:ligatures w14:val="standardContextual"/>
        </w:rPr>
      </w:pPr>
    </w:p>
    <w:p w14:paraId="08D468CB" w14:textId="77777777" w:rsidR="00406C66" w:rsidRPr="002B1BDF" w:rsidRDefault="00406C66" w:rsidP="00B21F92">
      <w:pPr>
        <w:numPr>
          <w:ilvl w:val="0"/>
          <w:numId w:val="2"/>
        </w:numPr>
        <w:spacing w:line="360" w:lineRule="auto"/>
        <w:ind w:left="1" w:hanging="1"/>
        <w:rPr>
          <w:rFonts w:ascii="Times New Roman" w:hAnsi="Times New Roman" w:cs="Times New Roman"/>
          <w:sz w:val="22"/>
        </w:rPr>
      </w:pPr>
      <w:r w:rsidRPr="002B1BDF">
        <w:rPr>
          <w:rFonts w:ascii="Times New Roman" w:hAnsi="Times New Roman" w:cs="Times New Roman"/>
          <w:sz w:val="22"/>
        </w:rPr>
        <w:t xml:space="preserve">Tapering magnets for </w:t>
      </w:r>
      <w:proofErr w:type="spellStart"/>
      <w:r w:rsidRPr="002B1BDF">
        <w:rPr>
          <w:rFonts w:ascii="Times New Roman" w:hAnsi="Times New Roman" w:cs="Times New Roman"/>
          <w:sz w:val="22"/>
        </w:rPr>
        <w:t>tt</w:t>
      </w:r>
      <w:proofErr w:type="spellEnd"/>
      <w:r w:rsidRPr="002B1BDF">
        <w:rPr>
          <w:rFonts w:ascii="Times New Roman" w:hAnsi="Times New Roman" w:cs="Times New Roman"/>
          <w:sz w:val="22"/>
        </w:rPr>
        <w:t xml:space="preserve">-bar operation requires simulations to verify orbit control and </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influence. </w:t>
      </w:r>
    </w:p>
    <w:p w14:paraId="57C4F515"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Yes. We fully agree with this comment. In TDR stage, the tapering scheme for </w:t>
      </w:r>
      <w:proofErr w:type="spellStart"/>
      <w:r w:rsidRPr="002B1BDF">
        <w:rPr>
          <w:rFonts w:ascii="Times New Roman" w:hAnsi="Times New Roman" w:cs="Times New Roman"/>
          <w:sz w:val="22"/>
          <w14:ligatures w14:val="standardContextual"/>
        </w:rPr>
        <w:t>tt</w:t>
      </w:r>
      <w:proofErr w:type="spellEnd"/>
      <w:r w:rsidRPr="002B1BDF">
        <w:rPr>
          <w:rFonts w:ascii="Times New Roman" w:hAnsi="Times New Roman" w:cs="Times New Roman"/>
          <w:sz w:val="22"/>
          <w14:ligatures w14:val="standardContextual"/>
        </w:rPr>
        <w:t xml:space="preserve">-bar energy has been tested (section-by-section tapering for dipoles and one-by-one tapering for </w:t>
      </w:r>
      <w:proofErr w:type="spellStart"/>
      <w:r w:rsidRPr="002B1BDF">
        <w:rPr>
          <w:rFonts w:ascii="Times New Roman" w:hAnsi="Times New Roman" w:cs="Times New Roman"/>
          <w:sz w:val="22"/>
          <w14:ligatures w14:val="standardContextual"/>
        </w:rPr>
        <w:lastRenderedPageBreak/>
        <w:t>quadurpoles</w:t>
      </w:r>
      <w:proofErr w:type="spellEnd"/>
      <w:r w:rsidRPr="002B1BDF">
        <w:rPr>
          <w:rFonts w:ascii="Times New Roman" w:hAnsi="Times New Roman" w:cs="Times New Roman"/>
          <w:sz w:val="22"/>
          <w14:ligatures w14:val="standardContextual"/>
        </w:rPr>
        <w:t xml:space="preserve">) with misalignment errors and magnets’ field errors, and we found that the orbit can be controlled and DA can meet the requirement. One thing needs to be clarified, we plan to power the bending magnets by series connection in 16 groups for pure dipoles and 8 groups for combined dipoles. In the whole ring, there are 24 variables of dipole strength. The power supply scheme is related with the cost of power supplies and has been reviewed on the international cost review meeting in September of 2023. Still, more simulations with possible larger errors at </w:t>
      </w:r>
      <w:proofErr w:type="spellStart"/>
      <w:r w:rsidRPr="002B1BDF">
        <w:rPr>
          <w:rFonts w:ascii="Times New Roman" w:hAnsi="Times New Roman" w:cs="Times New Roman"/>
          <w:sz w:val="22"/>
          <w14:ligatures w14:val="standardContextual"/>
        </w:rPr>
        <w:t>tt</w:t>
      </w:r>
      <w:proofErr w:type="spellEnd"/>
      <w:r w:rsidRPr="002B1BDF">
        <w:rPr>
          <w:rFonts w:ascii="Times New Roman" w:hAnsi="Times New Roman" w:cs="Times New Roman"/>
          <w:sz w:val="22"/>
          <w14:ligatures w14:val="standardContextual"/>
        </w:rPr>
        <w:t>-bar energy will be done for the next step.</w:t>
      </w:r>
    </w:p>
    <w:p w14:paraId="39FB0F74"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F8CB366" w14:textId="77777777" w:rsidR="00406C66" w:rsidRPr="002B1BDF" w:rsidRDefault="00406C66" w:rsidP="00B21F92">
      <w:pPr>
        <w:numPr>
          <w:ilvl w:val="0"/>
          <w:numId w:val="2"/>
        </w:numPr>
        <w:spacing w:line="360" w:lineRule="auto"/>
        <w:ind w:left="0" w:firstLineChars="2" w:firstLine="4"/>
        <w:rPr>
          <w:rFonts w:ascii="Times New Roman" w:hAnsi="Times New Roman" w:cs="Times New Roman"/>
          <w:sz w:val="22"/>
        </w:rPr>
      </w:pPr>
      <w:r w:rsidRPr="002B1BDF">
        <w:rPr>
          <w:rFonts w:ascii="Times New Roman" w:hAnsi="Times New Roman" w:cs="Times New Roman"/>
          <w:sz w:val="22"/>
        </w:rPr>
        <w:t xml:space="preserve">Injection scenarios during commissioning, particularly with </w:t>
      </w:r>
      <w:proofErr w:type="spellStart"/>
      <w:r w:rsidRPr="002B1BDF">
        <w:rPr>
          <w:rFonts w:ascii="Times New Roman" w:hAnsi="Times New Roman" w:cs="Times New Roman"/>
          <w:sz w:val="22"/>
        </w:rPr>
        <w:t>sextupoles</w:t>
      </w:r>
      <w:proofErr w:type="spellEnd"/>
      <w:r w:rsidRPr="002B1BDF">
        <w:rPr>
          <w:rFonts w:ascii="Times New Roman" w:hAnsi="Times New Roman" w:cs="Times New Roman"/>
          <w:sz w:val="22"/>
        </w:rPr>
        <w:t xml:space="preserve"> off, must be modeled to avoid losses and confirm that the beam orbit can be corrected.</w:t>
      </w:r>
    </w:p>
    <w:p w14:paraId="03CB3D3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For our case in the Booster, the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on the combined dipoles </w:t>
      </w:r>
      <w:proofErr w:type="spellStart"/>
      <w:r w:rsidRPr="002B1BDF">
        <w:rPr>
          <w:rFonts w:ascii="Times New Roman" w:hAnsi="Times New Roman" w:cs="Times New Roman"/>
          <w:sz w:val="22"/>
          <w14:ligatures w14:val="standardContextual"/>
        </w:rPr>
        <w:t>can not</w:t>
      </w:r>
      <w:proofErr w:type="spellEnd"/>
      <w:r w:rsidRPr="002B1BDF">
        <w:rPr>
          <w:rFonts w:ascii="Times New Roman" w:hAnsi="Times New Roman" w:cs="Times New Roman"/>
          <w:sz w:val="22"/>
          <w14:ligatures w14:val="standardContextual"/>
        </w:rPr>
        <w:t xml:space="preserve"> been turned off. There was a dedicated talk about the booster injection during commissioning in the CEPC IARC review meeting in Sep. of 2025 (“Simulation of First Injection and Orbit Correction at Commissioning of Booster”).</w:t>
      </w:r>
    </w:p>
    <w:p w14:paraId="26F8A69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In the recent simulation results, we kept the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turned on throughout the simulation process. Compared with the storage rings of HEPS and CEPC, the </w:t>
      </w:r>
      <w:proofErr w:type="spellStart"/>
      <w:r w:rsidRPr="002B1BDF">
        <w:rPr>
          <w:rFonts w:ascii="Times New Roman" w:hAnsi="Times New Roman" w:cs="Times New Roman"/>
          <w:sz w:val="22"/>
          <w14:ligatures w14:val="standardContextual"/>
        </w:rPr>
        <w:t>sextupole</w:t>
      </w:r>
      <w:proofErr w:type="spellEnd"/>
      <w:r w:rsidRPr="002B1BDF">
        <w:rPr>
          <w:rFonts w:ascii="Times New Roman" w:hAnsi="Times New Roman" w:cs="Times New Roman"/>
          <w:sz w:val="22"/>
          <w14:ligatures w14:val="standardContextual"/>
        </w:rPr>
        <w:t xml:space="preserve"> strength in the booster of CEPC is not high, so its impact on the transverse beam parameters is not very significant. In addition, during the correction process, since it includes the function of calculating and correcting the working point using approximately 10 beam turns, the change in the working point caused by the </w:t>
      </w:r>
      <w:proofErr w:type="spellStart"/>
      <w:r w:rsidRPr="002B1BDF">
        <w:rPr>
          <w:rFonts w:ascii="Times New Roman" w:hAnsi="Times New Roman" w:cs="Times New Roman"/>
          <w:sz w:val="22"/>
          <w14:ligatures w14:val="standardContextual"/>
        </w:rPr>
        <w:t>feetdown</w:t>
      </w:r>
      <w:proofErr w:type="spellEnd"/>
      <w:r w:rsidRPr="002B1BDF">
        <w:rPr>
          <w:rFonts w:ascii="Times New Roman" w:hAnsi="Times New Roman" w:cs="Times New Roman"/>
          <w:sz w:val="22"/>
          <w14:ligatures w14:val="standardContextual"/>
        </w:rPr>
        <w:t xml:space="preserve"> effect in the </w:t>
      </w:r>
      <w:proofErr w:type="spellStart"/>
      <w:r w:rsidRPr="002B1BDF">
        <w:rPr>
          <w:rFonts w:ascii="Times New Roman" w:hAnsi="Times New Roman" w:cs="Times New Roman"/>
          <w:sz w:val="22"/>
          <w14:ligatures w14:val="standardContextual"/>
        </w:rPr>
        <w:t>sextupoles</w:t>
      </w:r>
      <w:proofErr w:type="spellEnd"/>
      <w:r w:rsidRPr="002B1BDF">
        <w:rPr>
          <w:rFonts w:ascii="Times New Roman" w:hAnsi="Times New Roman" w:cs="Times New Roman"/>
          <w:sz w:val="22"/>
          <w14:ligatures w14:val="standardContextual"/>
        </w:rPr>
        <w:t xml:space="preserve"> can be corrected in real time.</w:t>
      </w:r>
    </w:p>
    <w:p w14:paraId="2C1B1A5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The BPM Noise was set to 300 </w:t>
      </w:r>
      <w:proofErr w:type="spellStart"/>
      <w:r w:rsidRPr="002B1BDF">
        <w:rPr>
          <w:rFonts w:ascii="Times New Roman" w:hAnsi="Times New Roman" w:cs="Times New Roman"/>
          <w:sz w:val="22"/>
          <w14:ligatures w14:val="standardContextual"/>
        </w:rPr>
        <w:t>μm</w:t>
      </w:r>
      <w:proofErr w:type="spellEnd"/>
      <w:r w:rsidRPr="002B1BDF">
        <w:rPr>
          <w:rFonts w:ascii="Times New Roman" w:hAnsi="Times New Roman" w:cs="Times New Roman"/>
          <w:sz w:val="22"/>
          <w14:ligatures w14:val="standardContextual"/>
        </w:rPr>
        <w:t xml:space="preserve"> in our injection simulations. The tune correction program has been updated, and tune correction starts after 10 turns. The simulation results show that after correction, a beam survival rate of approximately 30% can be achieved after 10,000 turns, which meets the requirements for subsequent routine correction. After this, we can move on to more precise error corrections based on the circulating beam.</w:t>
      </w:r>
    </w:p>
    <w:p w14:paraId="26CE334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4F92030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2-2 Design and production tolerance analysis of the CEPC Booster dipole-</w:t>
      </w:r>
      <w:proofErr w:type="spellStart"/>
      <w:r w:rsidRPr="002B1BDF">
        <w:rPr>
          <w:rFonts w:ascii="Times New Roman" w:hAnsi="Times New Roman" w:cs="Times New Roman"/>
          <w:sz w:val="22"/>
          <w14:ligatures w14:val="standardContextual"/>
        </w:rPr>
        <w:t>sextupole</w:t>
      </w:r>
      <w:proofErr w:type="spellEnd"/>
      <w:r w:rsidRPr="002B1BDF">
        <w:rPr>
          <w:rFonts w:ascii="Times New Roman" w:hAnsi="Times New Roman" w:cs="Times New Roman"/>
          <w:sz w:val="22"/>
          <w14:ligatures w14:val="standardContextual"/>
        </w:rPr>
        <w:t xml:space="preserve"> combined Magnets</w:t>
      </w:r>
    </w:p>
    <w:p w14:paraId="2F8C2F3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FFD1A5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lastRenderedPageBreak/>
        <w:t>Recommendations</w:t>
      </w:r>
    </w:p>
    <w:p w14:paraId="1BE94E8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0759A34" w14:textId="77777777" w:rsidR="00406C66" w:rsidRPr="002B1BDF" w:rsidRDefault="00406C66" w:rsidP="00B21F92">
      <w:pPr>
        <w:numPr>
          <w:ilvl w:val="0"/>
          <w:numId w:val="1"/>
        </w:numPr>
        <w:spacing w:line="360" w:lineRule="auto"/>
        <w:ind w:left="0" w:firstLineChars="2" w:firstLine="4"/>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The prototype uses PET laminations that reduce rigidity. Coupled simulations of magnetic force and mechanical strain should be conducted.</w:t>
      </w:r>
    </w:p>
    <w:p w14:paraId="1AA9B9F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In the magnet deformation analysis, magnetic forces have already been included. Given that the maximum magnetic field in the dipole magnet is only 564 Gauss, the resulting magnetic attraction force is approximately 100 kg. </w:t>
      </w:r>
    </w:p>
    <w:p w14:paraId="7C4F58D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0B0F5D50"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The core is encircled by inserting plates and end plates, central and surrounding draw bars to form a stable support frame structure.</w:t>
      </w:r>
    </w:p>
    <w:p w14:paraId="677B84A0"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089BE1A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We performed coupled simulations incorporating both gravity and magnetic forces to evaluate magnet support frame structure deformation. For the 4-point and 3-point lifting configurations, the maximum deformations are 20 </w:t>
      </w:r>
      <w:proofErr w:type="spellStart"/>
      <w:r w:rsidRPr="002B1BDF">
        <w:rPr>
          <w:rFonts w:ascii="Times New Roman" w:hAnsi="Times New Roman" w:cs="Times New Roman"/>
          <w:sz w:val="22"/>
          <w14:ligatures w14:val="standardContextual"/>
        </w:rPr>
        <w:t>μm</w:t>
      </w:r>
      <w:proofErr w:type="spellEnd"/>
      <w:r w:rsidRPr="002B1BDF">
        <w:rPr>
          <w:rFonts w:ascii="Times New Roman" w:hAnsi="Times New Roman" w:cs="Times New Roman"/>
          <w:sz w:val="22"/>
          <w14:ligatures w14:val="standardContextual"/>
        </w:rPr>
        <w:t xml:space="preserve"> and 28 </w:t>
      </w:r>
      <w:proofErr w:type="spellStart"/>
      <w:r w:rsidRPr="002B1BDF">
        <w:rPr>
          <w:rFonts w:ascii="Times New Roman" w:hAnsi="Times New Roman" w:cs="Times New Roman"/>
          <w:sz w:val="22"/>
          <w14:ligatures w14:val="standardContextual"/>
        </w:rPr>
        <w:t>μm</w:t>
      </w:r>
      <w:proofErr w:type="spellEnd"/>
      <w:r w:rsidRPr="002B1BDF">
        <w:rPr>
          <w:rFonts w:ascii="Times New Roman" w:hAnsi="Times New Roman" w:cs="Times New Roman"/>
          <w:sz w:val="22"/>
          <w14:ligatures w14:val="standardContextual"/>
        </w:rPr>
        <w:t xml:space="preserve">, respectively. Correspondingly, the magnetic gap changes are 10 </w:t>
      </w:r>
      <w:proofErr w:type="spellStart"/>
      <w:r w:rsidRPr="002B1BDF">
        <w:rPr>
          <w:rFonts w:ascii="Times New Roman" w:hAnsi="Times New Roman" w:cs="Times New Roman"/>
          <w:sz w:val="22"/>
          <w14:ligatures w14:val="standardContextual"/>
        </w:rPr>
        <w:t>μm</w:t>
      </w:r>
      <w:proofErr w:type="spellEnd"/>
      <w:r w:rsidRPr="002B1BDF">
        <w:rPr>
          <w:rFonts w:ascii="Times New Roman" w:hAnsi="Times New Roman" w:cs="Times New Roman"/>
          <w:sz w:val="22"/>
          <w14:ligatures w14:val="standardContextual"/>
        </w:rPr>
        <w:t xml:space="preserve"> and 15 </w:t>
      </w:r>
      <w:proofErr w:type="spellStart"/>
      <w:r w:rsidRPr="002B1BDF">
        <w:rPr>
          <w:rFonts w:ascii="Times New Roman" w:hAnsi="Times New Roman" w:cs="Times New Roman"/>
          <w:sz w:val="22"/>
          <w14:ligatures w14:val="standardContextual"/>
        </w:rPr>
        <w:t>μm</w:t>
      </w:r>
      <w:proofErr w:type="spellEnd"/>
      <w:r w:rsidRPr="002B1BDF">
        <w:rPr>
          <w:rFonts w:ascii="Times New Roman" w:hAnsi="Times New Roman" w:cs="Times New Roman"/>
          <w:sz w:val="22"/>
          <w14:ligatures w14:val="standardContextual"/>
        </w:rPr>
        <w:t>.</w:t>
      </w:r>
    </w:p>
    <w:p w14:paraId="5F2D140B" w14:textId="77777777" w:rsidR="00406C66" w:rsidRPr="002B1BDF" w:rsidRDefault="00406C66" w:rsidP="00B21F92">
      <w:pPr>
        <w:spacing w:line="360" w:lineRule="auto"/>
        <w:ind w:firstLineChars="176" w:firstLine="387"/>
        <w:jc w:val="center"/>
        <w:rPr>
          <w:rFonts w:ascii="Times New Roman" w:hAnsi="Times New Roman" w:cs="Times New Roman"/>
          <w:sz w:val="22"/>
          <w14:ligatures w14:val="standardContextual"/>
        </w:rPr>
      </w:pPr>
      <w:r w:rsidRPr="002B1BDF">
        <w:rPr>
          <w:rFonts w:ascii="Times New Roman" w:eastAsia="宋体" w:hAnsi="Times New Roman" w:cs="Times New Roman"/>
          <w:noProof/>
          <w:sz w:val="22"/>
        </w:rPr>
        <w:drawing>
          <wp:inline distT="0" distB="0" distL="114300" distR="114300" wp14:anchorId="70129ED7" wp14:editId="156495D8">
            <wp:extent cx="4373880" cy="1875790"/>
            <wp:effectExtent l="0" t="0" r="7620" b="10160"/>
            <wp:docPr id="1" name="图片 1" descr="a30a3a1c-73eb-4e22-a08e-202391786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0a3a1c-73eb-4e22-a08e-2023917867be"/>
                    <pic:cNvPicPr>
                      <a:picLocks noChangeAspect="1"/>
                    </pic:cNvPicPr>
                  </pic:nvPicPr>
                  <pic:blipFill>
                    <a:blip r:embed="rId11"/>
                    <a:srcRect/>
                    <a:stretch>
                      <a:fillRect/>
                    </a:stretch>
                  </pic:blipFill>
                  <pic:spPr>
                    <a:xfrm>
                      <a:off x="0" y="0"/>
                      <a:ext cx="4373880" cy="1875790"/>
                    </a:xfrm>
                    <a:prstGeom prst="rect">
                      <a:avLst/>
                    </a:prstGeom>
                  </pic:spPr>
                </pic:pic>
              </a:graphicData>
            </a:graphic>
          </wp:inline>
        </w:drawing>
      </w:r>
    </w:p>
    <w:p w14:paraId="5F66C94E" w14:textId="77777777" w:rsidR="00406C66" w:rsidRPr="002B1BDF" w:rsidRDefault="00406C66" w:rsidP="00B21F92">
      <w:pPr>
        <w:spacing w:line="360" w:lineRule="auto"/>
        <w:ind w:firstLineChars="176" w:firstLine="387"/>
        <w:jc w:val="center"/>
        <w:rPr>
          <w:rFonts w:ascii="Times New Roman" w:hAnsi="Times New Roman" w:cs="Times New Roman"/>
          <w:sz w:val="22"/>
          <w14:ligatures w14:val="standardContextual"/>
        </w:rPr>
      </w:pPr>
      <w:r w:rsidRPr="002B1BDF">
        <w:rPr>
          <w:rFonts w:ascii="Times New Roman" w:hAnsi="Times New Roman" w:cs="Times New Roman"/>
          <w:noProof/>
          <w:sz w:val="22"/>
          <w14:ligatures w14:val="standardContextual"/>
        </w:rPr>
        <w:drawing>
          <wp:inline distT="0" distB="0" distL="114300" distR="114300" wp14:anchorId="4ED53D22" wp14:editId="65972DFF">
            <wp:extent cx="4373880" cy="1905635"/>
            <wp:effectExtent l="0" t="0" r="7620" b="18415"/>
            <wp:docPr id="2" name="图片 2" descr="0ab8af7c-02ac-45f1-9b91-0534966d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b8af7c-02ac-45f1-9b91-0534966d8951"/>
                    <pic:cNvPicPr>
                      <a:picLocks noChangeAspect="1"/>
                    </pic:cNvPicPr>
                  </pic:nvPicPr>
                  <pic:blipFill>
                    <a:blip r:embed="rId12"/>
                    <a:stretch>
                      <a:fillRect/>
                    </a:stretch>
                  </pic:blipFill>
                  <pic:spPr>
                    <a:xfrm>
                      <a:off x="0" y="0"/>
                      <a:ext cx="4373880" cy="1905635"/>
                    </a:xfrm>
                    <a:prstGeom prst="rect">
                      <a:avLst/>
                    </a:prstGeom>
                  </pic:spPr>
                </pic:pic>
              </a:graphicData>
            </a:graphic>
          </wp:inline>
        </w:drawing>
      </w:r>
    </w:p>
    <w:p w14:paraId="054590FA" w14:textId="77777777" w:rsidR="00406C66" w:rsidRPr="002B1BDF" w:rsidRDefault="00406C66" w:rsidP="00B21F92">
      <w:pPr>
        <w:numPr>
          <w:ilvl w:val="0"/>
          <w:numId w:val="1"/>
        </w:numPr>
        <w:spacing w:line="360" w:lineRule="auto"/>
        <w:ind w:firstLineChars="176" w:firstLine="387"/>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 xml:space="preserve">Field asymmetry in the horizontal plane may impact optics and should be </w:t>
      </w:r>
      <w:r w:rsidRPr="002B1BDF">
        <w:rPr>
          <w:rFonts w:ascii="Times New Roman" w:eastAsia="宋体" w:hAnsi="Times New Roman" w:cs="Times New Roman"/>
          <w:sz w:val="22"/>
          <w:lang w:bidi="ar"/>
          <w14:ligatures w14:val="standardContextual"/>
        </w:rPr>
        <w:lastRenderedPageBreak/>
        <w:t xml:space="preserve">resolved by coil adjustment or remanent field removal. </w:t>
      </w:r>
    </w:p>
    <w:p w14:paraId="58D77FE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Yes, the field asymmetry in the horizontal plane may impact optics. But the field error produced by the asymmetry is small enough to meet the beam optics requirements.</w:t>
      </w:r>
    </w:p>
    <w:p w14:paraId="5E531D95" w14:textId="77777777" w:rsidR="00406C66" w:rsidRPr="002B1BDF" w:rsidRDefault="00406C66" w:rsidP="00B21F92">
      <w:pPr>
        <w:spacing w:line="360" w:lineRule="auto"/>
        <w:ind w:firstLineChars="176" w:firstLine="387"/>
        <w:rPr>
          <w:rFonts w:ascii="Times New Roman" w:eastAsia="宋体" w:hAnsi="Times New Roman" w:cs="Times New Roman"/>
          <w:sz w:val="22"/>
          <w:lang w:bidi="ar"/>
          <w14:ligatures w14:val="standardContextual"/>
        </w:rPr>
      </w:pPr>
    </w:p>
    <w:p w14:paraId="35A2B459" w14:textId="77777777" w:rsidR="00406C66" w:rsidRPr="002B1BDF" w:rsidRDefault="00406C66" w:rsidP="00B21F92">
      <w:pPr>
        <w:numPr>
          <w:ilvl w:val="0"/>
          <w:numId w:val="1"/>
        </w:numPr>
        <w:spacing w:line="360" w:lineRule="auto"/>
        <w:ind w:left="0" w:firstLineChars="2" w:firstLine="4"/>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 xml:space="preserve">Uniformity in field should be checked not only transversely but also longitudinally along the beam path. </w:t>
      </w:r>
    </w:p>
    <w:p w14:paraId="3DED7E4B" w14:textId="77777777" w:rsidR="00406C66" w:rsidRPr="002B1BDF" w:rsidRDefault="00406C66" w:rsidP="00B21F92">
      <w:pPr>
        <w:spacing w:line="360" w:lineRule="auto"/>
        <w:ind w:firstLineChars="2" w:firstLine="4"/>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Yes, the comment is right. We will measure and verify the field uniformity both transversely and longitudinally to ensure the specification is met over the full effective length.</w:t>
      </w:r>
    </w:p>
    <w:p w14:paraId="5B12D36B" w14:textId="77777777" w:rsidR="00406C66" w:rsidRPr="002B1BDF" w:rsidRDefault="00406C66" w:rsidP="00B21F92">
      <w:pPr>
        <w:spacing w:line="360" w:lineRule="auto"/>
        <w:ind w:firstLineChars="2" w:firstLine="4"/>
        <w:rPr>
          <w:rFonts w:ascii="Times New Roman" w:hAnsi="Times New Roman" w:cs="Times New Roman"/>
          <w:sz w:val="22"/>
          <w14:ligatures w14:val="standardContextual"/>
        </w:rPr>
      </w:pPr>
    </w:p>
    <w:p w14:paraId="7C459758" w14:textId="77777777" w:rsidR="00406C66" w:rsidRPr="002B1BDF" w:rsidRDefault="00406C66" w:rsidP="00B21F92">
      <w:pPr>
        <w:numPr>
          <w:ilvl w:val="0"/>
          <w:numId w:val="1"/>
        </w:numPr>
        <w:spacing w:line="360" w:lineRule="auto"/>
        <w:ind w:left="0" w:firstLineChars="2" w:firstLine="4"/>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 xml:space="preserve">Magnet cores are assembled via welding. Ensure that heat does not affect nearby plastic laminations. </w:t>
      </w:r>
    </w:p>
    <w:p w14:paraId="14CC0541"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We have conducted welding tests. The results showed that the welding caused slight surface carbonization of the plastic if the arc strike point was at least 10 mm away from the plastic laminations. </w:t>
      </w:r>
    </w:p>
    <w:p w14:paraId="71F252D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In the magnet production process design, welding is strictly limited to:</w:t>
      </w:r>
    </w:p>
    <w:p w14:paraId="7862210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a.  Joints between DT4 inserting/end plates and the surrounding draw bars</w:t>
      </w:r>
    </w:p>
    <w:p w14:paraId="679B139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b.  Joints between the surrounding draw bars themselves</w:t>
      </w:r>
    </w:p>
    <w:p w14:paraId="434B6B49"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c.  Joints between DT4 end plates.</w:t>
      </w:r>
    </w:p>
    <w:p w14:paraId="3F5FAAC8"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All these weld locations will ensure a minimum arc distance exceeding 10 mm from the plastic laminations. This welding strategy ensures the required joint strength is achieved while keeping PET melting and carbonization within acceptable limits.</w:t>
      </w:r>
    </w:p>
    <w:p w14:paraId="54279DA3" w14:textId="77777777" w:rsidR="00406C66" w:rsidRPr="002B1BDF" w:rsidRDefault="00406C66" w:rsidP="00B21F92">
      <w:pPr>
        <w:spacing w:line="360" w:lineRule="auto"/>
        <w:ind w:leftChars="200" w:left="480" w:firstLineChars="176" w:firstLine="387"/>
        <w:rPr>
          <w:rFonts w:ascii="Times New Roman" w:eastAsia="宋体" w:hAnsi="Times New Roman" w:cs="Times New Roman"/>
          <w:sz w:val="22"/>
        </w:rPr>
      </w:pPr>
    </w:p>
    <w:p w14:paraId="0ED74E09" w14:textId="77777777" w:rsidR="00406C66" w:rsidRPr="002B1BDF" w:rsidRDefault="00406C66" w:rsidP="00B21F92">
      <w:pPr>
        <w:spacing w:line="360" w:lineRule="auto"/>
        <w:ind w:firstLineChars="176" w:firstLine="387"/>
        <w:jc w:val="left"/>
        <w:rPr>
          <w:rFonts w:ascii="Times New Roman" w:eastAsia="宋体" w:hAnsi="Times New Roman" w:cs="Times New Roman"/>
          <w:sz w:val="22"/>
        </w:rPr>
      </w:pPr>
      <w:r w:rsidRPr="002B1BDF">
        <w:rPr>
          <w:rFonts w:ascii="Times New Roman" w:eastAsia="宋体" w:hAnsi="Times New Roman" w:cs="Times New Roman"/>
          <w:noProof/>
          <w:sz w:val="22"/>
        </w:rPr>
        <w:drawing>
          <wp:inline distT="0" distB="0" distL="114300" distR="114300" wp14:anchorId="73CC7802" wp14:editId="0624E5E8">
            <wp:extent cx="2664460" cy="1174750"/>
            <wp:effectExtent l="0" t="0" r="254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rcRect l="7634" r="4122"/>
                    <a:stretch>
                      <a:fillRect/>
                    </a:stretch>
                  </pic:blipFill>
                  <pic:spPr>
                    <a:xfrm>
                      <a:off x="0" y="0"/>
                      <a:ext cx="2664460" cy="1174750"/>
                    </a:xfrm>
                    <a:prstGeom prst="rect">
                      <a:avLst/>
                    </a:prstGeom>
                  </pic:spPr>
                </pic:pic>
              </a:graphicData>
            </a:graphic>
          </wp:inline>
        </w:drawing>
      </w:r>
    </w:p>
    <w:p w14:paraId="74D95E3F" w14:textId="77777777" w:rsidR="00406C66" w:rsidRPr="002B1BDF" w:rsidRDefault="00406C66" w:rsidP="00B21F92">
      <w:pPr>
        <w:spacing w:line="360" w:lineRule="auto"/>
        <w:ind w:firstLineChars="176" w:firstLine="387"/>
        <w:rPr>
          <w:rFonts w:ascii="Times New Roman" w:eastAsia="宋体" w:hAnsi="Times New Roman" w:cs="Times New Roman"/>
          <w:sz w:val="22"/>
        </w:rPr>
      </w:pPr>
      <w:r w:rsidRPr="002B1BDF">
        <w:rPr>
          <w:rFonts w:ascii="Times New Roman" w:eastAsia="宋体" w:hAnsi="Times New Roman" w:cs="Times New Roman"/>
          <w:noProof/>
          <w:sz w:val="22"/>
        </w:rPr>
        <w:lastRenderedPageBreak/>
        <w:drawing>
          <wp:inline distT="0" distB="0" distL="114300" distR="114300" wp14:anchorId="5094AE73" wp14:editId="72F56251">
            <wp:extent cx="2609850" cy="1190625"/>
            <wp:effectExtent l="0" t="0" r="0" b="9525"/>
            <wp:docPr id="4" name="图片 4" descr="d65bd625-a802-4539-8e39-9e9efa1b6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65bd625-a802-4539-8e39-9e9efa1b664e"/>
                    <pic:cNvPicPr>
                      <a:picLocks noChangeAspect="1"/>
                    </pic:cNvPicPr>
                  </pic:nvPicPr>
                  <pic:blipFill>
                    <a:blip r:embed="rId14"/>
                    <a:stretch>
                      <a:fillRect/>
                    </a:stretch>
                  </pic:blipFill>
                  <pic:spPr>
                    <a:xfrm>
                      <a:off x="0" y="0"/>
                      <a:ext cx="2609850" cy="1190625"/>
                    </a:xfrm>
                    <a:prstGeom prst="rect">
                      <a:avLst/>
                    </a:prstGeom>
                  </pic:spPr>
                </pic:pic>
              </a:graphicData>
            </a:graphic>
          </wp:inline>
        </w:drawing>
      </w:r>
      <w:r w:rsidRPr="002B1BDF">
        <w:rPr>
          <w:rFonts w:ascii="Times New Roman" w:eastAsia="宋体" w:hAnsi="Times New Roman" w:cs="Times New Roman"/>
          <w:sz w:val="22"/>
        </w:rPr>
        <w:t xml:space="preserve"> </w:t>
      </w:r>
      <w:r w:rsidRPr="002B1BDF">
        <w:rPr>
          <w:rFonts w:ascii="Times New Roman" w:eastAsia="宋体" w:hAnsi="Times New Roman" w:cs="Times New Roman"/>
          <w:noProof/>
          <w:sz w:val="22"/>
        </w:rPr>
        <w:drawing>
          <wp:inline distT="0" distB="0" distL="114300" distR="114300" wp14:anchorId="4AC9B6E2" wp14:editId="3779E6E0">
            <wp:extent cx="2574925" cy="1188085"/>
            <wp:effectExtent l="0" t="0" r="1587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rcRect l="2219" b="2405"/>
                    <a:stretch>
                      <a:fillRect/>
                    </a:stretch>
                  </pic:blipFill>
                  <pic:spPr>
                    <a:xfrm>
                      <a:off x="0" y="0"/>
                      <a:ext cx="2574925" cy="1188085"/>
                    </a:xfrm>
                    <a:prstGeom prst="rect">
                      <a:avLst/>
                    </a:prstGeom>
                  </pic:spPr>
                </pic:pic>
              </a:graphicData>
            </a:graphic>
          </wp:inline>
        </w:drawing>
      </w:r>
    </w:p>
    <w:p w14:paraId="520192D1"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16A468D" w14:textId="77777777" w:rsidR="00406C66" w:rsidRPr="002B1BDF" w:rsidRDefault="00406C66" w:rsidP="00B21F92">
      <w:pPr>
        <w:numPr>
          <w:ilvl w:val="0"/>
          <w:numId w:val="1"/>
        </w:numPr>
        <w:spacing w:line="360" w:lineRule="auto"/>
        <w:ind w:left="0" w:firstLineChars="2" w:firstLine="4"/>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 xml:space="preserve">Torque control of upper/lower bolts is critical for maintaining field reproducibility when vacuum pipes are inserted. </w:t>
      </w:r>
    </w:p>
    <w:p w14:paraId="052154E9" w14:textId="77777777" w:rsidR="00406C66" w:rsidRPr="002B1BDF" w:rsidRDefault="00406C66" w:rsidP="00B21F92">
      <w:pPr>
        <w:spacing w:line="360" w:lineRule="auto"/>
        <w:ind w:firstLineChars="2" w:firstLine="4"/>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Yes, we fully agree with this comment. A strict torque protocol for the upper and lower bolts has been established. Prior to every vacuum-pipe insertion, each bolt will be tightened to the specified value using a calibrated torque wrench to guarantee reproducible magnetic field conditions.</w:t>
      </w:r>
    </w:p>
    <w:p w14:paraId="6AC31F45" w14:textId="77777777" w:rsidR="00406C66" w:rsidRPr="002B1BDF" w:rsidRDefault="00406C66" w:rsidP="00B21F92">
      <w:pPr>
        <w:spacing w:line="360" w:lineRule="auto"/>
        <w:ind w:firstLineChars="2" w:firstLine="4"/>
        <w:rPr>
          <w:rFonts w:ascii="Times New Roman" w:hAnsi="Times New Roman" w:cs="Times New Roman"/>
          <w:sz w:val="22"/>
          <w14:ligatures w14:val="standardContextual"/>
        </w:rPr>
      </w:pPr>
    </w:p>
    <w:p w14:paraId="5A9395D9" w14:textId="77777777" w:rsidR="00406C66" w:rsidRPr="002B1BDF" w:rsidRDefault="00406C66" w:rsidP="00B21F92">
      <w:pPr>
        <w:numPr>
          <w:ilvl w:val="0"/>
          <w:numId w:val="1"/>
        </w:numPr>
        <w:spacing w:line="360" w:lineRule="auto"/>
        <w:ind w:left="0" w:firstLineChars="2" w:firstLine="4"/>
        <w:rPr>
          <w:rFonts w:ascii="Times New Roman" w:eastAsia="宋体" w:hAnsi="Times New Roman" w:cs="Times New Roman"/>
          <w:sz w:val="22"/>
          <w:lang w:bidi="ar"/>
          <w14:ligatures w14:val="standardContextual"/>
        </w:rPr>
      </w:pPr>
      <w:r w:rsidRPr="002B1BDF">
        <w:rPr>
          <w:rFonts w:ascii="Times New Roman" w:eastAsia="宋体" w:hAnsi="Times New Roman" w:cs="Times New Roman"/>
          <w:sz w:val="22"/>
          <w:lang w:bidi="ar"/>
          <w14:ligatures w14:val="standardContextual"/>
        </w:rPr>
        <w:t>Clarify field reproducibility after core separation and reintegration due to vacuum pipe installation.</w:t>
      </w:r>
    </w:p>
    <w:p w14:paraId="6AE8825E" w14:textId="77777777" w:rsidR="00406C66" w:rsidRPr="002B1BDF" w:rsidRDefault="00406C66" w:rsidP="00B21F92">
      <w:pPr>
        <w:spacing w:line="360" w:lineRule="auto"/>
        <w:ind w:firstLineChars="2" w:firstLine="4"/>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Through a three-step closed-loop process, the reproducibility of the magnetic field is verified and guaranteed after core separation and reassembly.</w:t>
      </w:r>
    </w:p>
    <w:p w14:paraId="74DE367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1) Alignment &amp; Datum</w:t>
      </w:r>
    </w:p>
    <w:p w14:paraId="0BDDAB2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The end plates and spacers will be machined to precise reference surfaces for measurement and alignment. During reassembly, the upper and lower half-magnets are positioned on a dedicated fixture, which incorporates end and side locating faces to ensure accurate registration along the Z- and X-axes. The alignment of each half-magnet is then verified through measurement.</w:t>
      </w:r>
    </w:p>
    <w:p w14:paraId="51FB211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 Torque &amp; Clamping Control</w:t>
      </w:r>
    </w:p>
    <w:p w14:paraId="2A30BB0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All 72 upper and lower bolts are tightened to 20 </w:t>
      </w:r>
      <w:proofErr w:type="spellStart"/>
      <w:r w:rsidRPr="002B1BDF">
        <w:rPr>
          <w:rFonts w:ascii="Times New Roman" w:hAnsi="Times New Roman" w:cs="Times New Roman"/>
          <w:sz w:val="22"/>
          <w14:ligatures w14:val="standardContextual"/>
        </w:rPr>
        <w:t>N·m</w:t>
      </w:r>
      <w:proofErr w:type="spellEnd"/>
      <w:r w:rsidRPr="002B1BDF">
        <w:rPr>
          <w:rFonts w:ascii="Times New Roman" w:hAnsi="Times New Roman" w:cs="Times New Roman"/>
          <w:sz w:val="22"/>
          <w14:ligatures w14:val="standardContextual"/>
        </w:rPr>
        <w:t xml:space="preserve"> using a prescribed sequence and </w:t>
      </w:r>
      <w:r w:rsidRPr="002B1BDF">
        <w:rPr>
          <w:rFonts w:ascii="Times New Roman" w:hAnsi="Times New Roman" w:cs="Times New Roman"/>
          <w:sz w:val="22"/>
          <w14:ligatures w14:val="standardContextual"/>
        </w:rPr>
        <w:lastRenderedPageBreak/>
        <w:t>torque wrenches from the same calibrated batch.</w:t>
      </w:r>
    </w:p>
    <w:p w14:paraId="2A84EA2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Spring washers are incorporated to compensate for potential relaxation during temperature cycling, thereby maintaining a constant clamping force.</w:t>
      </w:r>
    </w:p>
    <w:p w14:paraId="4818448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3) Field Verification Procedure</w:t>
      </w:r>
    </w:p>
    <w:p w14:paraId="660A68ED"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Three repetitive assemble–disassemble cycles will be performed. The magnetic field will be remeasured after each cycle to check if any field variation remains within the specified tolerance:</w:t>
      </w:r>
    </w:p>
    <w:p w14:paraId="38684389"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a.  Central field reproducibility better than 5E-4.</w:t>
      </w:r>
    </w:p>
    <w:p w14:paraId="12F3A6C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b.  Field uniformity variation within 5E-4.</w:t>
      </w:r>
    </w:p>
    <w:p w14:paraId="2851E920"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9693961"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2-3 Alignment scheme and analysis of the CEPC Booster dipole-</w:t>
      </w:r>
      <w:proofErr w:type="spellStart"/>
      <w:r w:rsidRPr="002B1BDF">
        <w:rPr>
          <w:rFonts w:ascii="Times New Roman" w:hAnsi="Times New Roman" w:cs="Times New Roman"/>
          <w:sz w:val="22"/>
          <w14:ligatures w14:val="standardContextual"/>
        </w:rPr>
        <w:t>sextupole</w:t>
      </w:r>
      <w:proofErr w:type="spellEnd"/>
      <w:r w:rsidRPr="002B1BDF">
        <w:rPr>
          <w:rFonts w:ascii="Times New Roman" w:hAnsi="Times New Roman" w:cs="Times New Roman"/>
          <w:sz w:val="22"/>
          <w14:ligatures w14:val="standardContextual"/>
        </w:rPr>
        <w:t xml:space="preserve"> combined magnets</w:t>
      </w:r>
    </w:p>
    <w:p w14:paraId="04CB2664"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008C903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Recommendations</w:t>
      </w:r>
    </w:p>
    <w:p w14:paraId="2B8639B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57602AB8"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1. Two methods were presented: magnetic vs mechanical </w:t>
      </w:r>
      <w:proofErr w:type="spellStart"/>
      <w:r w:rsidRPr="002B1BDF">
        <w:rPr>
          <w:rFonts w:ascii="Times New Roman" w:hAnsi="Times New Roman" w:cs="Times New Roman"/>
          <w:sz w:val="22"/>
          <w14:ligatures w14:val="standardContextual"/>
        </w:rPr>
        <w:t>fiducialization</w:t>
      </w:r>
      <w:proofErr w:type="spellEnd"/>
      <w:r w:rsidRPr="002B1BDF">
        <w:rPr>
          <w:rFonts w:ascii="Times New Roman" w:hAnsi="Times New Roman" w:cs="Times New Roman"/>
          <w:sz w:val="22"/>
          <w14:ligatures w14:val="standardContextual"/>
        </w:rPr>
        <w:t>. The latter has been selected, but systematic deviations must be examined. Verification is needed that both methods produce consistent reference centers at the prototype stage.</w:t>
      </w:r>
    </w:p>
    <w:p w14:paraId="1F53BE0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AAD16C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After the prototype is fabricated, we will perform the two </w:t>
      </w:r>
      <w:proofErr w:type="spellStart"/>
      <w:r w:rsidRPr="002B1BDF">
        <w:rPr>
          <w:rFonts w:ascii="Times New Roman" w:hAnsi="Times New Roman" w:cs="Times New Roman"/>
          <w:sz w:val="22"/>
          <w14:ligatures w14:val="standardContextual"/>
        </w:rPr>
        <w:t>fiducialization</w:t>
      </w:r>
      <w:proofErr w:type="spellEnd"/>
      <w:r w:rsidRPr="002B1BDF">
        <w:rPr>
          <w:rFonts w:ascii="Times New Roman" w:hAnsi="Times New Roman" w:cs="Times New Roman"/>
          <w:sz w:val="22"/>
          <w14:ligatures w14:val="standardContextual"/>
        </w:rPr>
        <w:t xml:space="preserve"> methods experiment to verify the consistence.</w:t>
      </w:r>
    </w:p>
    <w:p w14:paraId="0D4F0DFC"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CD8398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2. </w:t>
      </w:r>
      <w:proofErr w:type="spellStart"/>
      <w:r w:rsidRPr="002B1BDF">
        <w:rPr>
          <w:rFonts w:ascii="Times New Roman" w:hAnsi="Times New Roman" w:cs="Times New Roman"/>
          <w:sz w:val="22"/>
          <w14:ligatures w14:val="standardContextual"/>
        </w:rPr>
        <w:t>Fiducialization</w:t>
      </w:r>
      <w:proofErr w:type="spellEnd"/>
      <w:r w:rsidRPr="002B1BDF">
        <w:rPr>
          <w:rFonts w:ascii="Times New Roman" w:hAnsi="Times New Roman" w:cs="Times New Roman"/>
          <w:sz w:val="22"/>
          <w14:ligatures w14:val="standardContextual"/>
        </w:rPr>
        <w:t xml:space="preserve"> should factor in temperature differences: 20°C during alignment vs 29°C during operation. Component alignment may require intentional offsets during installation to compensate for thermal expansion.</w:t>
      </w:r>
    </w:p>
    <w:p w14:paraId="7E24376C"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4E6F37B3"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We will study the temperature impact by simulation and measurement experiment. The simulation method will be performed based on the material and structure design of the components and get the component center positions in different temperatures. The </w:t>
      </w:r>
      <w:r w:rsidRPr="002B1BDF">
        <w:rPr>
          <w:rFonts w:ascii="Times New Roman" w:hAnsi="Times New Roman" w:cs="Times New Roman"/>
          <w:sz w:val="22"/>
          <w14:ligatures w14:val="standardContextual"/>
        </w:rPr>
        <w:lastRenderedPageBreak/>
        <w:t>measurement experiment should be performed after the prototypes are available, and we plan to measure the component center positions in these temperatures. After get the position change values, we plan to compensate it by intentional offset during the installation.</w:t>
      </w:r>
    </w:p>
    <w:p w14:paraId="1BB8A579"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15B0C576"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3. The magnets’ flexibility and support structure affect form. Deformation (0.02 mm) should be verified with prototypes and reflected in final alignment plans</w:t>
      </w:r>
    </w:p>
    <w:p w14:paraId="399403A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7E5DEC72"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we will verify the deformation values with the prototype. It will be integrated into the final alignment plan.</w:t>
      </w:r>
    </w:p>
    <w:p w14:paraId="7444C121"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0CB2089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4. Mechanical scan coverage must be clarified (full-length vs fixed position), and upper/lower pole parallelism should be validated via field measurements.</w:t>
      </w:r>
    </w:p>
    <w:p w14:paraId="2500A7E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53720D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After the prototype is available, we plan to perform a measurement experiment includes measure the full-length of the magnet and measure the fixed positions (with an interval of 380mm and cover the full-length of the magnet) to verify their consistency. The upper/lower pole parallelism impact will be validated via field measurements by the magnet engineers.</w:t>
      </w:r>
    </w:p>
    <w:p w14:paraId="4EF3A79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7471B46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5. Control systems for ambient tunnel temperature and its fluctuation impacts on alignment must be designed.</w:t>
      </w:r>
    </w:p>
    <w:p w14:paraId="4923D8F8"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7F47896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Currently, the designed tunnel temperature during installation stage is 25°C and during operation stage is 35°C, the temperature fluctuation for each stage is ±2°C. Yes, we will study the temperature impacts on alignment according to the answer of recommendation 2.</w:t>
      </w:r>
    </w:p>
    <w:p w14:paraId="766FBA37"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3747C2F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6. Installation challenges due to ceiling mounting require specialized tools, jigs, and procedures to ensure precision.</w:t>
      </w:r>
    </w:p>
    <w:p w14:paraId="57108395"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F94C7E4"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The installation procedure has been introduced in Sep. IARC meeting, the tools will be </w:t>
      </w:r>
      <w:r w:rsidRPr="002B1BDF">
        <w:rPr>
          <w:rFonts w:ascii="Times New Roman" w:hAnsi="Times New Roman" w:cs="Times New Roman"/>
          <w:sz w:val="22"/>
          <w14:ligatures w14:val="standardContextual"/>
        </w:rPr>
        <w:lastRenderedPageBreak/>
        <w:t>designed in next step, mechanical engineers are in charging of this work.</w:t>
      </w:r>
    </w:p>
    <w:p w14:paraId="79C54AB8"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20D06D55"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7. Smoothing algorithm using a sliding window of only </w:t>
      </w:r>
      <w:bookmarkStart w:id="11" w:name="OLE_LINK16"/>
      <w:r w:rsidRPr="002B1BDF">
        <w:rPr>
          <w:rFonts w:ascii="Times New Roman" w:hAnsi="Times New Roman" w:cs="Times New Roman"/>
          <w:sz w:val="22"/>
          <w14:ligatures w14:val="standardContextual"/>
        </w:rPr>
        <w:t xml:space="preserve">3 components </w:t>
      </w:r>
      <w:bookmarkEnd w:id="11"/>
      <w:r w:rsidRPr="002B1BDF">
        <w:rPr>
          <w:rFonts w:ascii="Times New Roman" w:hAnsi="Times New Roman" w:cs="Times New Roman"/>
          <w:sz w:val="22"/>
          <w14:ligatures w14:val="standardContextual"/>
        </w:rPr>
        <w:t>may create propagation errors. Longer overlap simulations are recommended.</w:t>
      </w:r>
    </w:p>
    <w:p w14:paraId="76FF0C59"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3189B48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After the initial installation alignment, we will perform an overall measurement of all the components. Based on the measurement result we will calculate a smooth orbit (according to the differences of the actual positions relative to the nominal positions), this will not enlarge the component position error because we use the nominal positions as the reference. The smoothing algorithm using a sliding window of 3 components has been successfully used for CSNS and HEPS. We are also welcome to study the longer overlap methods.</w:t>
      </w:r>
    </w:p>
    <w:p w14:paraId="0AE0A01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666ACA3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2-4 CEPC booster error analysis and corrections</w:t>
      </w:r>
    </w:p>
    <w:p w14:paraId="29DD0989"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1FC386E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Recommendation</w:t>
      </w:r>
    </w:p>
    <w:p w14:paraId="2B1B970D"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5C7E919B"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1.  Combined magnet corrections influence chromaticity and should be simulated step-by-step, including BPM sensitivity and correction matrix resolution. </w:t>
      </w:r>
    </w:p>
    <w:p w14:paraId="14D43AFA"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 xml:space="preserve">The existing model has incorporated sub-micron level BPM resolution. Future studies will add working point and chromaticity measurement correction functions based on BPM data, as well as research on chromaticity control using the 100 independent </w:t>
      </w:r>
      <w:proofErr w:type="spellStart"/>
      <w:r w:rsidRPr="002B1BDF">
        <w:rPr>
          <w:rFonts w:ascii="Times New Roman" w:hAnsi="Times New Roman" w:cs="Times New Roman"/>
          <w:sz w:val="22"/>
          <w14:ligatures w14:val="standardContextual"/>
        </w:rPr>
        <w:t>sextupole</w:t>
      </w:r>
      <w:proofErr w:type="spellEnd"/>
      <w:r w:rsidRPr="002B1BDF">
        <w:rPr>
          <w:rFonts w:ascii="Times New Roman" w:hAnsi="Times New Roman" w:cs="Times New Roman"/>
          <w:sz w:val="22"/>
          <w14:ligatures w14:val="standardContextual"/>
        </w:rPr>
        <w:t xml:space="preserve"> magnets.</w:t>
      </w:r>
    </w:p>
    <w:p w14:paraId="2CE73601"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3D0F8C25"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2.  Closed orbit determination should account for how ΔX affects COD. A proper model should also determine orbit length and RF frequency based on actual conditions.</w:t>
      </w:r>
    </w:p>
    <w:p w14:paraId="0B66780E"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r w:rsidRPr="002B1BDF">
        <w:rPr>
          <w:rFonts w:ascii="Times New Roman" w:hAnsi="Times New Roman" w:cs="Times New Roman"/>
          <w:sz w:val="22"/>
          <w14:ligatures w14:val="standardContextual"/>
        </w:rPr>
        <w:t>The current simulation includes the function of controlling the ΔX deviation of the full-ring COD via RF frequency. In subsequent research, environmental factors such as temperature and magnetic field fluctuations will be studied and modeled.</w:t>
      </w:r>
    </w:p>
    <w:p w14:paraId="751871BF" w14:textId="77777777" w:rsidR="00406C66" w:rsidRPr="002B1BDF" w:rsidRDefault="00406C66" w:rsidP="00B21F92">
      <w:pPr>
        <w:spacing w:line="360" w:lineRule="auto"/>
        <w:ind w:firstLineChars="176" w:firstLine="387"/>
        <w:rPr>
          <w:rFonts w:ascii="Times New Roman" w:hAnsi="Times New Roman" w:cs="Times New Roman"/>
          <w:sz w:val="22"/>
          <w14:ligatures w14:val="standardContextual"/>
        </w:rPr>
      </w:pPr>
    </w:p>
    <w:p w14:paraId="45D0A339" w14:textId="77777777" w:rsidR="00406C66" w:rsidRPr="002B1BDF" w:rsidRDefault="00406C66" w:rsidP="00B21F92">
      <w:pPr>
        <w:spacing w:line="360" w:lineRule="auto"/>
        <w:ind w:firstLineChars="176" w:firstLine="387"/>
        <w:rPr>
          <w:rFonts w:ascii="Times New Roman" w:hAnsi="Times New Roman" w:cs="Times New Roman"/>
          <w:sz w:val="22"/>
        </w:rPr>
      </w:pPr>
    </w:p>
    <w:p w14:paraId="25B47F22"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lastRenderedPageBreak/>
        <w:t>A.7 Summary of vacuum chamber mini review (Guangyi Tang)</w:t>
      </w:r>
    </w:p>
    <w:p w14:paraId="6F135FA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 Consider moving the collider and booster to the external side of the tunnel;</w:t>
      </w:r>
    </w:p>
    <w:p w14:paraId="554AC1C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Yes, we will simulate the radiation level in the tunnel by moving the collider and booster to the external side. For CEPC, the radiation released on the outside of the tunnel and the radiation on the inside of the tunnel are similar because the beampipes are surrounded by lead and iron, and the radiation passing through these materials becomes divergent. Moving the collider and booster to the external side may not decrease the radiation released in the tunnel.</w:t>
      </w:r>
    </w:p>
    <w:p w14:paraId="2FF98773" w14:textId="77777777" w:rsidR="00406C66" w:rsidRPr="002B1BDF" w:rsidRDefault="00406C66" w:rsidP="00B21F92">
      <w:pPr>
        <w:spacing w:line="360" w:lineRule="auto"/>
        <w:ind w:firstLineChars="176" w:firstLine="387"/>
        <w:rPr>
          <w:rFonts w:ascii="Times New Roman" w:hAnsi="Times New Roman" w:cs="Times New Roman"/>
          <w:sz w:val="22"/>
        </w:rPr>
      </w:pPr>
    </w:p>
    <w:p w14:paraId="12CE268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 Consider the accessibility to the cable rack section after installing shielded walls;</w:t>
      </w:r>
    </w:p>
    <w:p w14:paraId="09A934D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Yes, it is difficult to access cable tray section after installing the shielded wall between magnets and cable trays. We have discussed this issue and will work with the mechanical colleagues and the general operations colleagues on the engineering design soon to check the feasibility.</w:t>
      </w:r>
    </w:p>
    <w:p w14:paraId="3B5D7C4B" w14:textId="77777777" w:rsidR="00406C66" w:rsidRPr="002B1BDF" w:rsidRDefault="00406C66" w:rsidP="00B21F92">
      <w:pPr>
        <w:spacing w:line="360" w:lineRule="auto"/>
        <w:ind w:firstLineChars="176" w:firstLine="387"/>
        <w:rPr>
          <w:rFonts w:ascii="Times New Roman" w:hAnsi="Times New Roman" w:cs="Times New Roman"/>
          <w:sz w:val="22"/>
        </w:rPr>
      </w:pPr>
    </w:p>
    <w:p w14:paraId="0C760EB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Consider alternative types of cables than SiO2, such as those made from PEEK material;</w:t>
      </w:r>
    </w:p>
    <w:p w14:paraId="281EF7D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Yes, thank you for this suggestion. We will find alternative materials, including PEEK material.</w:t>
      </w:r>
    </w:p>
    <w:p w14:paraId="4716D4E3" w14:textId="77777777" w:rsidR="00406C66" w:rsidRPr="002B1BDF" w:rsidRDefault="00406C66" w:rsidP="00B21F92">
      <w:pPr>
        <w:spacing w:line="360" w:lineRule="auto"/>
        <w:ind w:firstLineChars="176" w:firstLine="387"/>
        <w:rPr>
          <w:rFonts w:ascii="Times New Roman" w:hAnsi="Times New Roman" w:cs="Times New Roman"/>
          <w:sz w:val="22"/>
        </w:rPr>
      </w:pPr>
    </w:p>
    <w:p w14:paraId="51F1E3E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4. Carefully test the feasibility of the version 2 vacuum chamber with integrated SR absorbers, in particular the welding technique. Inspect the internal side of the chamber of the absorber welds: the interface should be as smooth as possible, in order to avoid any adhesion problem or peel-off of the NEG-coating;</w:t>
      </w:r>
    </w:p>
    <w:p w14:paraId="47BFF94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Yes, it is essential to design the SR absorber and chamber, develop a prototype, and conduct necessary validations. This is under consideration, but it will take a lot of time.</w:t>
      </w:r>
    </w:p>
    <w:p w14:paraId="2ACB81D2" w14:textId="77777777" w:rsidR="00406C66" w:rsidRPr="002B1BDF" w:rsidRDefault="00406C66" w:rsidP="00B21F92">
      <w:pPr>
        <w:spacing w:line="360" w:lineRule="auto"/>
        <w:ind w:firstLineChars="176" w:firstLine="387"/>
        <w:rPr>
          <w:rFonts w:ascii="Times New Roman" w:hAnsi="Times New Roman" w:cs="Times New Roman"/>
          <w:sz w:val="22"/>
        </w:rPr>
      </w:pPr>
    </w:p>
    <w:p w14:paraId="5C402B6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5. Not mentioned in the talk, for version 2 of the vacuum chamber, check the feasibility of the deposition of the insulating layer and thin metal tracks for in-situ bake out and NEG-activation, due to the non-circular shape of the chamber and the presence of the SR absorber blocks;</w:t>
      </w:r>
    </w:p>
    <w:p w14:paraId="24CD1D2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lastRenderedPageBreak/>
        <w:t>Yes, we will discuss the structure of the insulating layer and the thin metal tracks for baking soon. After that, their deposition will be simulated to check the feasibility.</w:t>
      </w:r>
    </w:p>
    <w:p w14:paraId="6BE33C40" w14:textId="77777777" w:rsidR="00406C66" w:rsidRPr="002B1BDF" w:rsidRDefault="00406C66" w:rsidP="00B21F92">
      <w:pPr>
        <w:spacing w:line="360" w:lineRule="auto"/>
        <w:ind w:firstLineChars="176" w:firstLine="387"/>
        <w:rPr>
          <w:rFonts w:ascii="Times New Roman" w:hAnsi="Times New Roman" w:cs="Times New Roman"/>
          <w:sz w:val="22"/>
        </w:rPr>
      </w:pPr>
    </w:p>
    <w:p w14:paraId="078B451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6. Study in detail how to efficiently cool the shielding blocks, and how to arrange the areas between magnets populated by many cooling pipes and electrical connections. Accessibility of the fittings is important, as these connections will need to allow safe work for the technical staff any time a vacuum intervention such as a bake-out/NEG activation is needed. Take into account the presence of the supports for the magnets, chambers, and spool pieces with RF contact fingers and bellows, plus possible pumping ports.</w:t>
      </w:r>
    </w:p>
    <w:p w14:paraId="04E6FF5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Yes, we have begun the engineering design for shielding blocks in and around magnets. The design of the lead fixing, installation for the lead blocks, and the cooling system for magnets and lead blocks have the first priority. The electrical connections and vacuum chamber </w:t>
      </w:r>
      <w:proofErr w:type="gramStart"/>
      <w:r w:rsidRPr="002B1BDF">
        <w:rPr>
          <w:rFonts w:ascii="Times New Roman" w:hAnsi="Times New Roman" w:cs="Times New Roman"/>
          <w:sz w:val="22"/>
        </w:rPr>
        <w:t>supports</w:t>
      </w:r>
      <w:proofErr w:type="gramEnd"/>
      <w:r w:rsidRPr="002B1BDF">
        <w:rPr>
          <w:rFonts w:ascii="Times New Roman" w:hAnsi="Times New Roman" w:cs="Times New Roman"/>
          <w:sz w:val="22"/>
        </w:rPr>
        <w:t xml:space="preserve"> will be updated together with the above works.</w:t>
      </w:r>
    </w:p>
    <w:p w14:paraId="1D7A85E9"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A.8 CEPC layout and mechanical system progress (</w:t>
      </w:r>
      <w:proofErr w:type="spellStart"/>
      <w:r w:rsidRPr="002B1BDF">
        <w:rPr>
          <w:rFonts w:ascii="Times New Roman" w:hAnsi="Times New Roman" w:cs="Times New Roman"/>
          <w:sz w:val="24"/>
          <w:szCs w:val="24"/>
        </w:rPr>
        <w:t>Haijing</w:t>
      </w:r>
      <w:proofErr w:type="spellEnd"/>
      <w:r w:rsidRPr="002B1BDF">
        <w:rPr>
          <w:rFonts w:ascii="Times New Roman" w:hAnsi="Times New Roman" w:cs="Times New Roman"/>
          <w:sz w:val="24"/>
          <w:szCs w:val="24"/>
        </w:rPr>
        <w:t xml:space="preserve"> Wang)</w:t>
      </w:r>
    </w:p>
    <w:p w14:paraId="616067FE"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eastAsia="CMR10" w:hAnsi="Times New Roman" w:cs="Times New Roman"/>
          <w:sz w:val="22"/>
        </w:rPr>
      </w:pPr>
      <w:r w:rsidRPr="002B1BDF">
        <w:rPr>
          <w:rFonts w:ascii="Times New Roman" w:eastAsia="CMR10" w:hAnsi="Times New Roman" w:cs="Times New Roman"/>
          <w:sz w:val="22"/>
        </w:rPr>
        <w:t>1. Prepare and integrate geodetic reference frames and transformations between reference systems to the survey layout and CAD systems;</w:t>
      </w:r>
    </w:p>
    <w:p w14:paraId="4A826393"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hAnsi="Times New Roman" w:cs="Times New Roman"/>
          <w:sz w:val="22"/>
        </w:rPr>
      </w:pPr>
      <w:r w:rsidRPr="002B1BDF">
        <w:rPr>
          <w:rFonts w:ascii="Times New Roman" w:hAnsi="Times New Roman" w:cs="Times New Roman"/>
          <w:sz w:val="22"/>
        </w:rPr>
        <w:t>A: Thank you for the recommendation. Now we are designing the layout in a virtual coordinate system. During the alignment engineering, the key points of the facility will be determined, and the coordinate transformation will be performed.</w:t>
      </w:r>
    </w:p>
    <w:p w14:paraId="0732DDB7"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eastAsia="CMR10" w:hAnsi="Times New Roman" w:cs="Times New Roman"/>
          <w:sz w:val="22"/>
        </w:rPr>
      </w:pPr>
      <w:r w:rsidRPr="002B1BDF">
        <w:rPr>
          <w:rFonts w:ascii="Times New Roman" w:eastAsia="CMR10" w:hAnsi="Times New Roman" w:cs="Times New Roman"/>
          <w:sz w:val="22"/>
        </w:rPr>
        <w:t>2. Optimize the MDI mechanics and supports with all the involved stakeholders, in a collaborative approach, to finalize the designs and Finite Element Analysis, and launch the fabrication of a dedicated mock-up;</w:t>
      </w:r>
    </w:p>
    <w:p w14:paraId="45706AC1"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eastAsia="CMR10" w:hAnsi="Times New Roman" w:cs="Times New Roman"/>
          <w:sz w:val="22"/>
        </w:rPr>
      </w:pPr>
      <w:r w:rsidRPr="002B1BDF">
        <w:rPr>
          <w:rFonts w:ascii="Times New Roman" w:eastAsia="CMR10" w:hAnsi="Times New Roman" w:cs="Times New Roman"/>
          <w:sz w:val="22"/>
        </w:rPr>
        <w:t>A: Thank you for the recommendation. We will do the further optimization with the involved colleagues, negotiate with the different requirements of different and a balance. Then we will finalize the design and FEA with all the involved components. Meanwhile, we will launch the fabrication of the mockup.</w:t>
      </w:r>
    </w:p>
    <w:p w14:paraId="04BC4D93"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eastAsia="CMR10" w:hAnsi="Times New Roman" w:cs="Times New Roman"/>
          <w:sz w:val="22"/>
        </w:rPr>
      </w:pPr>
      <w:r w:rsidRPr="002B1BDF">
        <w:rPr>
          <w:rFonts w:ascii="Times New Roman" w:eastAsia="CMR10" w:hAnsi="Times New Roman" w:cs="Times New Roman"/>
          <w:sz w:val="22"/>
        </w:rPr>
        <w:lastRenderedPageBreak/>
        <w:t>3. Confirm the (vertical and lateral) stability requirements in the MDI and tunnel, and perform the Experimental Modal Analysis and transfer functions analyses on the designed solutions.</w:t>
      </w:r>
    </w:p>
    <w:p w14:paraId="46F8C39D" w14:textId="77777777" w:rsidR="00406C66" w:rsidRPr="002B1BDF" w:rsidRDefault="00406C66" w:rsidP="00B21F92">
      <w:pPr>
        <w:widowControl/>
        <w:autoSpaceDE w:val="0"/>
        <w:autoSpaceDN w:val="0"/>
        <w:adjustRightInd w:val="0"/>
        <w:spacing w:line="360" w:lineRule="auto"/>
        <w:ind w:firstLineChars="176" w:firstLine="387"/>
        <w:jc w:val="left"/>
        <w:rPr>
          <w:rFonts w:ascii="Times New Roman" w:hAnsi="Times New Roman" w:cs="Times New Roman"/>
          <w:sz w:val="22"/>
        </w:rPr>
      </w:pPr>
      <w:r w:rsidRPr="002B1BDF">
        <w:rPr>
          <w:rFonts w:ascii="Times New Roman" w:hAnsi="Times New Roman" w:cs="Times New Roman"/>
          <w:sz w:val="22"/>
        </w:rPr>
        <w:t>A: Thank you for the recommendation. We will confirm the stability requirements from the accelerator physics colleagues. The vibration test will include the ground motion test close to the real site and the modal test of magnet-support assembly.</w:t>
      </w:r>
    </w:p>
    <w:p w14:paraId="3D6D55BC" w14:textId="77777777" w:rsidR="00406C66" w:rsidRPr="002B1BDF" w:rsidRDefault="00406C66" w:rsidP="00B21F92">
      <w:pPr>
        <w:spacing w:line="360" w:lineRule="auto"/>
        <w:ind w:firstLineChars="176" w:firstLine="387"/>
        <w:rPr>
          <w:rFonts w:ascii="Times New Roman" w:hAnsi="Times New Roman" w:cs="Times New Roman"/>
          <w:sz w:val="22"/>
        </w:rPr>
      </w:pPr>
    </w:p>
    <w:p w14:paraId="267EE93C"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A.9 Installation procedures of the Booster magnets beam pipe (</w:t>
      </w:r>
      <w:proofErr w:type="spellStart"/>
      <w:r w:rsidRPr="002B1BDF">
        <w:rPr>
          <w:rFonts w:ascii="Times New Roman" w:hAnsi="Times New Roman" w:cs="Times New Roman"/>
          <w:sz w:val="24"/>
          <w:szCs w:val="24"/>
        </w:rPr>
        <w:t>Xiaolong</w:t>
      </w:r>
      <w:proofErr w:type="spellEnd"/>
      <w:r w:rsidRPr="002B1BDF">
        <w:rPr>
          <w:rFonts w:ascii="Times New Roman" w:hAnsi="Times New Roman" w:cs="Times New Roman"/>
          <w:sz w:val="24"/>
          <w:szCs w:val="24"/>
        </w:rPr>
        <w:t xml:space="preserve"> Wang)</w:t>
      </w:r>
    </w:p>
    <w:p w14:paraId="6DC677C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A.9.2 Recommendations</w:t>
      </w:r>
    </w:p>
    <w:p w14:paraId="71ED734A"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1. For the MDI area, it is recommended to clarify the manpower and equipment requirements for the installation process, as well as the allocation of personnel and equipment for each working group, to provide a basis for the engineering budget;</w:t>
      </w:r>
    </w:p>
    <w:p w14:paraId="3D6CDD09"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r w:rsidRPr="002B1BDF">
        <w:rPr>
          <w:rStyle w:val="fontstyle01"/>
          <w:rFonts w:ascii="Times New Roman" w:hAnsi="Times New Roman" w:cs="Times New Roman"/>
          <w:color w:val="auto"/>
          <w:sz w:val="22"/>
          <w:szCs w:val="22"/>
        </w:rPr>
        <w:t>Replay: OK, we will consider it.</w:t>
      </w:r>
    </w:p>
    <w:p w14:paraId="1468858D" w14:textId="77777777" w:rsidR="00406C66" w:rsidRPr="002B1BDF" w:rsidRDefault="00406C66" w:rsidP="00B21F92">
      <w:pPr>
        <w:spacing w:line="360" w:lineRule="auto"/>
        <w:ind w:firstLineChars="176" w:firstLine="387"/>
        <w:rPr>
          <w:rStyle w:val="fontstyle01"/>
          <w:rFonts w:ascii="Times New Roman" w:hAnsi="Times New Roman" w:cs="Times New Roman"/>
          <w:color w:val="auto"/>
          <w:sz w:val="22"/>
          <w:szCs w:val="22"/>
        </w:rPr>
      </w:pPr>
    </w:p>
    <w:p w14:paraId="08D83F8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 It is recommended to clearly define the spatial arrangement of control network points during the initial design phase and use 3D simulation to verify their visibility.</w:t>
      </w:r>
    </w:p>
    <w:p w14:paraId="6B0AC91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Style w:val="fontstyle01"/>
          <w:rFonts w:ascii="Times New Roman" w:hAnsi="Times New Roman" w:cs="Times New Roman"/>
          <w:color w:val="auto"/>
          <w:sz w:val="22"/>
          <w:szCs w:val="22"/>
        </w:rPr>
        <w:t xml:space="preserve">Replay: </w:t>
      </w:r>
      <w:r w:rsidRPr="002B1BDF">
        <w:rPr>
          <w:rFonts w:ascii="Times New Roman" w:hAnsi="Times New Roman" w:cs="Times New Roman"/>
          <w:sz w:val="22"/>
        </w:rPr>
        <w:t xml:space="preserve">The spatial arrangement of control network points has been described in previous presentation: CEPC Accelerator TDR International Review </w:t>
      </w:r>
      <w:hyperlink r:id="rId16" w:history="1">
        <w:r w:rsidRPr="002B1BDF">
          <w:rPr>
            <w:rStyle w:val="a3"/>
            <w:rFonts w:ascii="Times New Roman" w:hAnsi="Times New Roman" w:cs="Times New Roman"/>
            <w:color w:val="auto"/>
            <w:sz w:val="22"/>
          </w:rPr>
          <w:t>https://indico.ihep.ac.cn/event/19262/timetable/</w:t>
        </w:r>
      </w:hyperlink>
      <w:r w:rsidRPr="002B1BDF">
        <w:rPr>
          <w:rFonts w:ascii="Times New Roman" w:hAnsi="Times New Roman" w:cs="Times New Roman"/>
          <w:sz w:val="22"/>
        </w:rPr>
        <w:t xml:space="preserve">  CEPC Alignment and installation. OK. We will perform the 3D simulation according to the latest tunnel structure design.</w:t>
      </w:r>
    </w:p>
    <w:p w14:paraId="169E18E2" w14:textId="77777777" w:rsidR="00406C66" w:rsidRPr="002B1BDF" w:rsidRDefault="00406C66" w:rsidP="00B21F92">
      <w:pPr>
        <w:spacing w:line="360" w:lineRule="auto"/>
        <w:ind w:firstLineChars="176" w:firstLine="387"/>
        <w:rPr>
          <w:rFonts w:ascii="Times New Roman" w:hAnsi="Times New Roman" w:cs="Times New Roman"/>
          <w:sz w:val="22"/>
        </w:rPr>
      </w:pPr>
    </w:p>
    <w:p w14:paraId="4A2D4E39"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A.10 Solenoid compensation scheme and alternative schemes (Yiwei Wang)</w:t>
      </w:r>
    </w:p>
    <w:p w14:paraId="012F3B4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A.10.2 Recommendations </w:t>
      </w:r>
    </w:p>
    <w:p w14:paraId="5F5C156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 Decide which compensation scheme will be used for the Higgs running (that for the CEPC comes first);</w:t>
      </w:r>
    </w:p>
    <w:p w14:paraId="30AB3D63" w14:textId="591132C4"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 Although the non-local compensation scheme yields a much smaller vertical emittance </w:t>
      </w:r>
      <w:r w:rsidRPr="002B1BDF">
        <w:rPr>
          <w:rFonts w:ascii="Times New Roman" w:hAnsi="Times New Roman" w:cs="Times New Roman"/>
          <w:sz w:val="22"/>
        </w:rPr>
        <w:lastRenderedPageBreak/>
        <w:t>than the local scheme, its beam dynamics performance and tuning simplicity are inferior. Meanwhile, the vertical emittance achieved with the local scheme at the Higgs energy is only 16% of the budgeted value. Therefore, it is preferable to adopt the local scheme for the first-stage Higgs running.</w:t>
      </w:r>
    </w:p>
    <w:p w14:paraId="345ED21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Beam dynamics performance and tuning methods will be further investigated. If promising results can be achieved, the non-local scheme may also be considered for the first-stage Higgs running.</w:t>
      </w:r>
    </w:p>
    <w:p w14:paraId="34AD7426" w14:textId="77777777" w:rsidR="00406C66" w:rsidRPr="002B1BDF" w:rsidRDefault="00406C66" w:rsidP="00B21F92">
      <w:pPr>
        <w:spacing w:line="360" w:lineRule="auto"/>
        <w:ind w:firstLineChars="176" w:firstLine="387"/>
        <w:rPr>
          <w:rFonts w:ascii="Times New Roman" w:hAnsi="Times New Roman" w:cs="Times New Roman"/>
          <w:sz w:val="22"/>
        </w:rPr>
      </w:pPr>
    </w:p>
    <w:p w14:paraId="7D4DA27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2. Investigate the possibility of reducing the detector solenoid field from 3T to 2T only for the Z running and its effect on physics performance and especially on the TPC; </w:t>
      </w:r>
    </w:p>
    <w:p w14:paraId="073279D2" w14:textId="03D571F5"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 The TPC detector operates with a significantly lower background under a 3T detector field compared to a 2T field. Consequently, after the accelerator TDR, the detector solenoid field for the first-stage Z running was changed from 2T to 3T.</w:t>
      </w:r>
    </w:p>
    <w:p w14:paraId="36782DE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However, we acknowledge that reducing the detector solenoid field, even slightly, would help decrease the vertical emittance and reduce complexities in beam dynamics, such as those related to polarization and optics. The possibility of lowering the solenoid field and its impact on physics performance, particularly for the TPC, will be further discussed and explored.</w:t>
      </w:r>
    </w:p>
    <w:p w14:paraId="3B84DA3E" w14:textId="77777777" w:rsidR="00406C66" w:rsidRPr="002B1BDF" w:rsidRDefault="00406C66" w:rsidP="00B21F92">
      <w:pPr>
        <w:spacing w:line="360" w:lineRule="auto"/>
        <w:ind w:firstLineChars="176" w:firstLine="387"/>
        <w:rPr>
          <w:rFonts w:ascii="Times New Roman" w:hAnsi="Times New Roman" w:cs="Times New Roman"/>
          <w:sz w:val="22"/>
        </w:rPr>
      </w:pPr>
    </w:p>
    <w:p w14:paraId="72B55DA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Consider alternative geometries for the anti-solenoid.</w:t>
      </w:r>
    </w:p>
    <w:p w14:paraId="5009245D" w14:textId="2E8174EF"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 The alternative non-local scheme exhibits a significant vertical closed orbit distortion. Further study is needed to determine whether a geometry different from that used in the local scheme is required.</w:t>
      </w:r>
    </w:p>
    <w:p w14:paraId="09C4D6F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The current anti-solenoid design is quasi-conical, with varying radii along different longitudinal sections. An elliptical cross-section anti-solenoid will also be tested to reduce the Bx field component.</w:t>
      </w:r>
    </w:p>
    <w:p w14:paraId="5F77404E" w14:textId="77777777" w:rsidR="00406C66" w:rsidRPr="002B1BDF" w:rsidRDefault="00406C66" w:rsidP="00B21F92">
      <w:pPr>
        <w:spacing w:line="360" w:lineRule="auto"/>
        <w:ind w:firstLineChars="176" w:firstLine="387"/>
        <w:rPr>
          <w:rFonts w:ascii="Times New Roman" w:hAnsi="Times New Roman" w:cs="Times New Roman"/>
          <w:sz w:val="22"/>
        </w:rPr>
      </w:pPr>
    </w:p>
    <w:p w14:paraId="5C4E4903"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lastRenderedPageBreak/>
        <w:t xml:space="preserve">A.11 Simulation of injection at commissioning and orbit correction (Daheng Ji) </w:t>
      </w:r>
    </w:p>
    <w:p w14:paraId="4253ED9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A.11.1 Comments </w:t>
      </w:r>
    </w:p>
    <w:p w14:paraId="28CE196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Simulation of the first injection and orbit correction at commissioning of the booster was presented. The committee notices small emittance </w:t>
      </w:r>
      <w:proofErr w:type="spellStart"/>
      <w:r w:rsidRPr="002B1BDF">
        <w:rPr>
          <w:rFonts w:ascii="Times New Roman" w:hAnsi="Times New Roman" w:cs="Times New Roman"/>
          <w:sz w:val="22"/>
        </w:rPr>
        <w:t>εx</w:t>
      </w:r>
      <w:proofErr w:type="spellEnd"/>
      <w:r w:rsidRPr="002B1BDF">
        <w:rPr>
          <w:rFonts w:ascii="Times New Roman" w:hAnsi="Times New Roman" w:cs="Times New Roman"/>
          <w:sz w:val="22"/>
        </w:rPr>
        <w:t xml:space="preserve"> = 1.26 nm at 120 GeV and large damping time 3 s, acceleration time of 8 1 s. The studied errors of elements </w:t>
      </w:r>
      <w:proofErr w:type="gramStart"/>
      <w:r w:rsidRPr="002B1BDF">
        <w:rPr>
          <w:rFonts w:ascii="Times New Roman" w:hAnsi="Times New Roman" w:cs="Times New Roman"/>
          <w:sz w:val="22"/>
        </w:rPr>
        <w:t>shifts</w:t>
      </w:r>
      <w:proofErr w:type="gramEnd"/>
      <w:r w:rsidRPr="002B1BDF">
        <w:rPr>
          <w:rFonts w:ascii="Times New Roman" w:hAnsi="Times New Roman" w:cs="Times New Roman"/>
          <w:sz w:val="22"/>
        </w:rPr>
        <w:t xml:space="preserve">, field values, and BPM readings are reasonable. The methods used for correction of orbits, optics, coupling etc. give satisfactory results. Horizontal emittance growth is within 1-2%, which is acceptable. Vertical emittance growth is controlled by skew quadrupoles. However, the influence of eddy currents and generated fields was not studied. From experience, the influence on beam dynamics by magnetic errors is smaller than the de-synchronization of power supplies of some magnets (due to the different f </w:t>
      </w:r>
      <w:proofErr w:type="spellStart"/>
      <w:r w:rsidRPr="002B1BDF">
        <w:rPr>
          <w:rFonts w:ascii="Times New Roman" w:hAnsi="Times New Roman" w:cs="Times New Roman"/>
          <w:sz w:val="22"/>
        </w:rPr>
        <w:t>ield</w:t>
      </w:r>
      <w:proofErr w:type="spellEnd"/>
      <w:r w:rsidRPr="002B1BDF">
        <w:rPr>
          <w:rFonts w:ascii="Times New Roman" w:hAnsi="Times New Roman" w:cs="Times New Roman"/>
          <w:sz w:val="22"/>
        </w:rPr>
        <w:t xml:space="preserve"> growth times). Considering a damping time of 3s, which is larger than acceleration time of 1s, misalignment errors might be less important than de-synchronization. Also, it is difficult to manufacture all the magnets from the same iron with identical magnetic properties, which will create different fields in similar magnets. </w:t>
      </w:r>
    </w:p>
    <w:p w14:paraId="05B1B86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A.11.2 Recommendations </w:t>
      </w:r>
    </w:p>
    <w:p w14:paraId="0DFBE01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1. Estimate influence of the eddy currents in vacuum-chamber walls on the beam dynamics; </w:t>
      </w:r>
    </w:p>
    <w:p w14:paraId="12CFE32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We agree with the necessity of this work. We plan to build a numerical model based on the actual structure of the CEPC Booster vacuum chamber (e.g., material composition, wall thickness) and magnetic field change parameters during acceleration. This model will calculate the influence of eddy current-induced magnetic fields on beam orbit stability and injection efficiency. Subsequently, we will conduct joint tests with vacuum chamber prototypes and magnet prototypes to measure eddy current-related magnetic field disturbances, verifying and optimizing the simulation results to meet beam dynamics design requirements.</w:t>
      </w:r>
    </w:p>
    <w:p w14:paraId="4C4A86D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2. Simulate the realistic beam acceleration in the booster, find the acceptable values for de-synchronization of the magnetic fields. Evaluate the influence of fields different from the design values. Compare effects of de-synchronization during the acceleration in the booster and of misalignment; </w:t>
      </w:r>
    </w:p>
    <w:p w14:paraId="6222E17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We fully agree with this recommendation and will focus on the following key work: </w:t>
      </w:r>
      <w:r w:rsidRPr="002B1BDF">
        <w:rPr>
          <w:rFonts w:ascii="Times New Roman" w:hAnsi="Times New Roman" w:cs="Times New Roman"/>
          <w:sz w:val="22"/>
        </w:rPr>
        <w:lastRenderedPageBreak/>
        <w:t xml:space="preserve">Connect prototype magnets to the Booster’s actual digital power supplies, simulate the 1s acceleration process, and measure real de-synchronization (e.g., field delay, strength deviation). Simulate the tolerance range of de-synchronization effects at different energies (20–120 GeV), combine test results to evaluate impacts, and screen the de-synchronization range that meets beam requirements (beam survival rate ≥30%, emittance growth ≤2%) to confirm acceptable </w:t>
      </w:r>
      <w:proofErr w:type="gramStart"/>
      <w:r w:rsidRPr="002B1BDF">
        <w:rPr>
          <w:rFonts w:ascii="Times New Roman" w:hAnsi="Times New Roman" w:cs="Times New Roman"/>
          <w:sz w:val="22"/>
        </w:rPr>
        <w:t>values..</w:t>
      </w:r>
      <w:proofErr w:type="gramEnd"/>
    </w:p>
    <w:p w14:paraId="6F31188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Since the CEPC Booster uses digital power supplies (with real-time adjustment), we’ll develop correction work for de-synchronization impacts at different energies. The power supplies will automatically adjust to compensate for de-synchronization, and we’ll verify this via simulation and prototype tests.</w:t>
      </w:r>
    </w:p>
    <w:p w14:paraId="4987D68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Estimate the effect of the different magnetic properties of the iron used for magnets on beam properties</w:t>
      </w:r>
    </w:p>
    <w:p w14:paraId="7B3CE14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We fully agree with this recommendation and will do the following key work: We will collect magnetic property data of iron used for Booster magnet cores, testing key indicators like coercive force to clarify the property difference range. Convert these iron property differences into magnet field errors using existing design tools, calculating their impacts on the dipole’s central field, </w:t>
      </w:r>
      <w:proofErr w:type="spellStart"/>
      <w:r w:rsidRPr="002B1BDF">
        <w:rPr>
          <w:rFonts w:ascii="Times New Roman" w:hAnsi="Times New Roman" w:cs="Times New Roman"/>
          <w:sz w:val="22"/>
        </w:rPr>
        <w:t>sextupole’s</w:t>
      </w:r>
      <w:proofErr w:type="spellEnd"/>
      <w:r w:rsidRPr="002B1BDF">
        <w:rPr>
          <w:rFonts w:ascii="Times New Roman" w:hAnsi="Times New Roman" w:cs="Times New Roman"/>
          <w:sz w:val="22"/>
        </w:rPr>
        <w:t xml:space="preserve"> field gradient, and overall field uniformity to obtain specific error values. Then we will evaluate impacts on beam properties via simulation and tests.</w:t>
      </w:r>
    </w:p>
    <w:p w14:paraId="699C9AB8" w14:textId="77777777" w:rsidR="00406C66" w:rsidRPr="002B1BDF" w:rsidRDefault="00406C66" w:rsidP="00B21F92">
      <w:pPr>
        <w:spacing w:line="360" w:lineRule="auto"/>
        <w:ind w:firstLineChars="176" w:firstLine="387"/>
        <w:rPr>
          <w:rFonts w:ascii="Times New Roman" w:hAnsi="Times New Roman" w:cs="Times New Roman"/>
          <w:sz w:val="22"/>
        </w:rPr>
      </w:pPr>
    </w:p>
    <w:p w14:paraId="1EBCBCFA"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A.12 Studies of the tolerance to machine errors at all energies (Yiwei Wang, Bin Wang)</w:t>
      </w:r>
    </w:p>
    <w:p w14:paraId="49AA92D8" w14:textId="77777777" w:rsidR="00406C66" w:rsidRPr="002B1BDF" w:rsidRDefault="00406C66" w:rsidP="006968AF">
      <w:pPr>
        <w:pStyle w:val="a4"/>
        <w:numPr>
          <w:ilvl w:val="0"/>
          <w:numId w:val="3"/>
        </w:numPr>
        <w:autoSpaceDE w:val="0"/>
        <w:autoSpaceDN w:val="0"/>
        <w:adjustRightInd w:val="0"/>
        <w:spacing w:line="360" w:lineRule="auto"/>
        <w:ind w:leftChars="-1" w:left="-2" w:firstLineChars="0" w:firstLine="1"/>
        <w:jc w:val="left"/>
        <w:rPr>
          <w:rFonts w:ascii="Times New Roman" w:eastAsia="CMR10" w:hAnsi="Times New Roman" w:cs="Times New Roman"/>
          <w:kern w:val="0"/>
          <w:sz w:val="22"/>
        </w:rPr>
      </w:pPr>
      <w:r w:rsidRPr="002B1BDF">
        <w:rPr>
          <w:rFonts w:ascii="Times New Roman" w:eastAsia="CMR10" w:hAnsi="Times New Roman" w:cs="Times New Roman"/>
          <w:kern w:val="0"/>
          <w:sz w:val="22"/>
        </w:rPr>
        <w:t>Study error tolerances with local and non-local solenoid compensation schemes;</w:t>
      </w:r>
    </w:p>
    <w:p w14:paraId="2FD04202" w14:textId="77777777" w:rsidR="00406C66" w:rsidRPr="002B1BDF" w:rsidRDefault="00406C66" w:rsidP="006968AF">
      <w:pPr>
        <w:spacing w:line="360" w:lineRule="auto"/>
        <w:ind w:leftChars="-1" w:left="-2" w:firstLine="1"/>
        <w:rPr>
          <w:rFonts w:ascii="Times New Roman" w:hAnsi="Times New Roman" w:cs="Times New Roman"/>
          <w:sz w:val="22"/>
        </w:rPr>
      </w:pPr>
      <w:r w:rsidRPr="002B1BDF">
        <w:rPr>
          <w:rFonts w:ascii="Times New Roman" w:hAnsi="Times New Roman" w:cs="Times New Roman"/>
          <w:sz w:val="22"/>
        </w:rPr>
        <w:t xml:space="preserve">[Reply] This study is currently underway. We will analyze the </w:t>
      </w:r>
      <w:proofErr w:type="gramStart"/>
      <w:r w:rsidRPr="002B1BDF">
        <w:rPr>
          <w:rFonts w:ascii="Times New Roman" w:hAnsi="Times New Roman" w:cs="Times New Roman"/>
          <w:sz w:val="22"/>
        </w:rPr>
        <w:t>correction  and</w:t>
      </w:r>
      <w:proofErr w:type="gramEnd"/>
      <w:r w:rsidRPr="002B1BDF">
        <w:rPr>
          <w:rFonts w:ascii="Times New Roman" w:hAnsi="Times New Roman" w:cs="Times New Roman"/>
          <w:sz w:val="22"/>
        </w:rPr>
        <w:t xml:space="preserve"> its performance of a lattice with solenoids by systematically scanning across different magnet error scenarios.</w:t>
      </w:r>
    </w:p>
    <w:p w14:paraId="638122E3" w14:textId="77777777" w:rsidR="00406C66" w:rsidRPr="002B1BDF" w:rsidRDefault="00406C66" w:rsidP="006968AF">
      <w:pPr>
        <w:pStyle w:val="a4"/>
        <w:numPr>
          <w:ilvl w:val="0"/>
          <w:numId w:val="3"/>
        </w:numPr>
        <w:autoSpaceDE w:val="0"/>
        <w:autoSpaceDN w:val="0"/>
        <w:adjustRightInd w:val="0"/>
        <w:spacing w:line="360" w:lineRule="auto"/>
        <w:ind w:leftChars="-1" w:left="-2" w:firstLineChars="0" w:firstLine="1"/>
        <w:jc w:val="left"/>
        <w:rPr>
          <w:rFonts w:ascii="Times New Roman" w:eastAsia="CMR10" w:hAnsi="Times New Roman" w:cs="Times New Roman"/>
          <w:kern w:val="0"/>
          <w:sz w:val="22"/>
        </w:rPr>
      </w:pPr>
      <w:r w:rsidRPr="002B1BDF">
        <w:rPr>
          <w:rFonts w:ascii="Times New Roman" w:eastAsia="CMR10" w:hAnsi="Times New Roman" w:cs="Times New Roman"/>
          <w:kern w:val="0"/>
          <w:sz w:val="22"/>
        </w:rPr>
        <w:t>Estimate vertical emittance growth and orbit distortion from seismic vibrations of magnetic elements. The ring is long, the number of magnets is large. In the light sources a special fast orbit feedback is used. Study how this will affect the luminosity.</w:t>
      </w:r>
    </w:p>
    <w:p w14:paraId="6C244856" w14:textId="44A44E65" w:rsidR="00406C66" w:rsidRPr="002B1BDF" w:rsidRDefault="00406C66" w:rsidP="006968AF">
      <w:pPr>
        <w:spacing w:line="360" w:lineRule="auto"/>
        <w:ind w:leftChars="-1" w:left="-2" w:firstLine="1"/>
        <w:rPr>
          <w:rFonts w:ascii="Times New Roman" w:eastAsia="CMR10" w:hAnsi="Times New Roman" w:cs="Times New Roman"/>
          <w:sz w:val="22"/>
        </w:rPr>
      </w:pPr>
      <w:r w:rsidRPr="002B1BDF">
        <w:rPr>
          <w:rFonts w:ascii="Times New Roman" w:hAnsi="Times New Roman" w:cs="Times New Roman"/>
          <w:sz w:val="22"/>
        </w:rPr>
        <w:t xml:space="preserve">[Reply] The vertical orbit distortion is mainly affected by two factors: the ground vibrations at </w:t>
      </w:r>
      <w:r w:rsidRPr="002B1BDF">
        <w:rPr>
          <w:rFonts w:ascii="Times New Roman" w:hAnsi="Times New Roman" w:cs="Times New Roman"/>
          <w:sz w:val="22"/>
        </w:rPr>
        <w:lastRenderedPageBreak/>
        <w:t xml:space="preserve">the Interaction Points (IPs) and the ground motions in the arc region. With an estimated contribution of 4 nanometers from the ground vibrations at the IPs, based on the CERN vibration levels at the IP when situated 100 meters underground, and an additional 25 nanometers from the ground in the arc region—due to its length and the inevitable presence of </w:t>
      </w:r>
      <w:r w:rsidR="006968AF" w:rsidRPr="002B1BDF">
        <w:rPr>
          <w:rFonts w:ascii="Times New Roman" w:hAnsi="Times New Roman" w:cs="Times New Roman"/>
          <w:sz w:val="22"/>
        </w:rPr>
        <w:t>mind</w:t>
      </w:r>
      <w:r w:rsidRPr="002B1BDF">
        <w:rPr>
          <w:rFonts w:ascii="Times New Roman" w:hAnsi="Times New Roman" w:cs="Times New Roman"/>
          <w:sz w:val="22"/>
        </w:rPr>
        <w:t>-out areas even at a depth of 100 meters—the luminosity is expected to experience a reduction of approximately two percent. This is a roughly estimation. A multi-particle tracking initiative, including FOFB research, is set to commence.</w:t>
      </w:r>
    </w:p>
    <w:p w14:paraId="46F7FE55" w14:textId="77777777" w:rsidR="00406C66" w:rsidRPr="002B1BDF" w:rsidRDefault="00406C66" w:rsidP="00B21F92">
      <w:pPr>
        <w:pStyle w:val="a4"/>
        <w:autoSpaceDE w:val="0"/>
        <w:autoSpaceDN w:val="0"/>
        <w:adjustRightInd w:val="0"/>
        <w:spacing w:line="360" w:lineRule="auto"/>
        <w:ind w:left="360" w:firstLineChars="176" w:firstLine="387"/>
        <w:jc w:val="left"/>
        <w:rPr>
          <w:rFonts w:ascii="Times New Roman" w:eastAsia="CMR10" w:hAnsi="Times New Roman" w:cs="Times New Roman"/>
          <w:kern w:val="0"/>
          <w:sz w:val="22"/>
        </w:rPr>
      </w:pPr>
    </w:p>
    <w:p w14:paraId="4A636B59" w14:textId="0073E783" w:rsidR="00406C66" w:rsidRPr="002B1BDF" w:rsidRDefault="00406C66" w:rsidP="00B21F92">
      <w:pPr>
        <w:pStyle w:val="1"/>
        <w:spacing w:before="0" w:after="0"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A.13 Conventional facility and control methods for the tunnel temperature (</w:t>
      </w:r>
      <w:proofErr w:type="spellStart"/>
      <w:r w:rsidRPr="002B1BDF">
        <w:rPr>
          <w:rFonts w:ascii="Times New Roman" w:hAnsi="Times New Roman" w:cs="Times New Roman"/>
          <w:sz w:val="24"/>
          <w:szCs w:val="24"/>
        </w:rPr>
        <w:t>JinshuHuang</w:t>
      </w:r>
      <w:proofErr w:type="spellEnd"/>
      <w:r w:rsidRPr="002B1BDF">
        <w:rPr>
          <w:rFonts w:ascii="Times New Roman" w:hAnsi="Times New Roman" w:cs="Times New Roman"/>
          <w:sz w:val="24"/>
          <w:szCs w:val="24"/>
        </w:rPr>
        <w:t>)</w:t>
      </w:r>
    </w:p>
    <w:p w14:paraId="631A165D"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 xml:space="preserve">REPLY: </w:t>
      </w:r>
    </w:p>
    <w:p w14:paraId="7AD8D03D"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The total load is determined based on the evaluated and aggregated heat dissipation of the process equipment. We will continue to coordinate with each system to update the heat-dissipation data. In addition, for cases with significant heat deposition—such as synchrotron-radiation heating—we will consider whether part of the heat load can be transferred to the cooling-water system.</w:t>
      </w:r>
    </w:p>
    <w:p w14:paraId="6AB9A7EC"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Increasing the relative humidity offers clear energy-saving benefits, and 70 percent is our intended target for the underground areas. However, if high-voltage equipment cannot operate reliably under this condition, we will reduce the tunnel humidity accordingly.</w:t>
      </w:r>
    </w:p>
    <w:p w14:paraId="6F6BFAFF"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According to the current design, the heat dissipation from the beam dump does not affect the operation of the air-conditioning system. We will continue to calculate the heat load from the beam dump and assess whether the related load can be handled by the cooling-water system.</w:t>
      </w:r>
    </w:p>
    <w:p w14:paraId="1C8908EB"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p>
    <w:p w14:paraId="5027D1A6"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 xml:space="preserve">A.13.2 Recommendations </w:t>
      </w:r>
    </w:p>
    <w:p w14:paraId="22A2A293"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 xml:space="preserve">REPLY: </w:t>
      </w:r>
    </w:p>
    <w:p w14:paraId="5443B000"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 xml:space="preserve">We will incorporate the review of specifications into our next phase of work, conduct a thorough evaluation of the power safety requirements for all equipment, and rationally plan the configuration of the UPS and backup generators. </w:t>
      </w:r>
    </w:p>
    <w:p w14:paraId="43C3DE98" w14:textId="77777777" w:rsidR="00406C66" w:rsidRPr="002B1BDF" w:rsidRDefault="00406C66" w:rsidP="00B21F92">
      <w:pPr>
        <w:autoSpaceDE w:val="0"/>
        <w:autoSpaceDN w:val="0"/>
        <w:adjustRightInd w:val="0"/>
        <w:spacing w:line="360" w:lineRule="auto"/>
        <w:ind w:firstLineChars="176" w:firstLine="387"/>
        <w:rPr>
          <w:rFonts w:ascii="Times New Roman" w:eastAsia="微软雅黑" w:hAnsi="Times New Roman" w:cs="Times New Roman"/>
          <w:kern w:val="0"/>
          <w:sz w:val="22"/>
        </w:rPr>
      </w:pPr>
      <w:r w:rsidRPr="002B1BDF">
        <w:rPr>
          <w:rFonts w:ascii="Times New Roman" w:eastAsia="微软雅黑" w:hAnsi="Times New Roman" w:cs="Times New Roman"/>
          <w:kern w:val="0"/>
          <w:sz w:val="22"/>
        </w:rPr>
        <w:t xml:space="preserve">Due to the current lack of detailed geological survey data on the temperatures at various </w:t>
      </w:r>
      <w:r w:rsidRPr="002B1BDF">
        <w:rPr>
          <w:rFonts w:ascii="Times New Roman" w:eastAsia="微软雅黑" w:hAnsi="Times New Roman" w:cs="Times New Roman"/>
          <w:kern w:val="0"/>
          <w:sz w:val="22"/>
        </w:rPr>
        <w:lastRenderedPageBreak/>
        <w:t>underground locations, the wall temperatures reported are estimated solely based on local meteorological conditions and are assumed to be unaffected by geothermal factors. Once the geological survey is completed, the actual underground temperature conditions will be incorporated, and dynamic simulations and calculations.</w:t>
      </w:r>
    </w:p>
    <w:p w14:paraId="2077ECF8"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A.14 CEPC booster magnet production line (Wen Kang)</w:t>
      </w:r>
    </w:p>
    <w:p w14:paraId="33CAA17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1. In the prototype magnet construction, try to measure the </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magnetic center axis with the single stretched wire measurement, and compare it with the mechanical fiducial measurement and the rotating coil magnetic field measurement;</w:t>
      </w:r>
    </w:p>
    <w:p w14:paraId="7FA01A2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Response: Thanks for good recommendation, we will develop a single stretched wire measurement system to measure the </w:t>
      </w:r>
      <w:proofErr w:type="spellStart"/>
      <w:r w:rsidRPr="002B1BDF">
        <w:rPr>
          <w:rFonts w:ascii="Times New Roman" w:hAnsi="Times New Roman" w:cs="Times New Roman"/>
          <w:sz w:val="22"/>
        </w:rPr>
        <w:t>sextupole</w:t>
      </w:r>
      <w:proofErr w:type="spellEnd"/>
      <w:r w:rsidRPr="002B1BDF">
        <w:rPr>
          <w:rFonts w:ascii="Times New Roman" w:hAnsi="Times New Roman" w:cs="Times New Roman"/>
          <w:sz w:val="22"/>
        </w:rPr>
        <w:t xml:space="preserve"> magnetic center axis.</w:t>
      </w:r>
    </w:p>
    <w:p w14:paraId="3C17590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 With the prototype magnet, check the welding effect on the magnetic-field profile of the magnet;</w:t>
      </w:r>
    </w:p>
    <w:p w14:paraId="66BF30E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Response: OK, after the prototype magnet is finished, we will carefully measure the magnetic field at the </w:t>
      </w:r>
      <w:proofErr w:type="spellStart"/>
      <w:r w:rsidRPr="002B1BDF">
        <w:rPr>
          <w:rFonts w:ascii="Times New Roman" w:hAnsi="Times New Roman" w:cs="Times New Roman"/>
          <w:sz w:val="22"/>
        </w:rPr>
        <w:t>positon</w:t>
      </w:r>
      <w:proofErr w:type="spellEnd"/>
      <w:r w:rsidRPr="002B1BDF">
        <w:rPr>
          <w:rFonts w:ascii="Times New Roman" w:hAnsi="Times New Roman" w:cs="Times New Roman"/>
          <w:sz w:val="22"/>
        </w:rPr>
        <w:t xml:space="preserve"> of welding lines.</w:t>
      </w:r>
    </w:p>
    <w:p w14:paraId="4FC3826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In the production data file for each magnet, include the material data, such as the magnetic properties of the iron yoke;</w:t>
      </w:r>
    </w:p>
    <w:p w14:paraId="1A6D9E2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 It is a good recommendation, the material data is important to track the production quality, the production data file will include them.</w:t>
      </w:r>
    </w:p>
    <w:p w14:paraId="7A58182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4. From the prototype magnet-production experience, make an acceptance magnet production table.</w:t>
      </w:r>
    </w:p>
    <w:p w14:paraId="20A2700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 OK, it is a good idea, according to the prototype magnet-production experience, we will make a production quality control table lists for the mass production.</w:t>
      </w:r>
    </w:p>
    <w:p w14:paraId="12B14FE8" w14:textId="77777777" w:rsidR="00406C66" w:rsidRPr="002B1BDF" w:rsidRDefault="00406C66" w:rsidP="00B21F92">
      <w:pPr>
        <w:spacing w:line="360" w:lineRule="auto"/>
        <w:ind w:firstLineChars="176" w:firstLine="387"/>
        <w:rPr>
          <w:rFonts w:ascii="Times New Roman" w:hAnsi="Times New Roman" w:cs="Times New Roman"/>
          <w:sz w:val="22"/>
        </w:rPr>
      </w:pPr>
    </w:p>
    <w:p w14:paraId="4030160D" w14:textId="77777777" w:rsidR="00406C66" w:rsidRPr="002B1BDF" w:rsidRDefault="00406C66" w:rsidP="00B21F92">
      <w:pPr>
        <w:spacing w:line="360" w:lineRule="auto"/>
        <w:ind w:firstLineChars="176" w:firstLine="387"/>
        <w:rPr>
          <w:rFonts w:ascii="Times New Roman" w:hAnsi="Times New Roman" w:cs="Times New Roman"/>
          <w:sz w:val="22"/>
        </w:rPr>
      </w:pPr>
    </w:p>
    <w:p w14:paraId="0FCAC89E"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A.15 CEPC vacuum chamber production line (</w:t>
      </w:r>
      <w:proofErr w:type="spellStart"/>
      <w:r w:rsidRPr="002B1BDF">
        <w:rPr>
          <w:rFonts w:ascii="Times New Roman" w:hAnsi="Times New Roman" w:cs="Times New Roman"/>
          <w:sz w:val="24"/>
          <w:szCs w:val="24"/>
        </w:rPr>
        <w:t>Yongsheng</w:t>
      </w:r>
      <w:proofErr w:type="spellEnd"/>
      <w:r w:rsidRPr="002B1BDF">
        <w:rPr>
          <w:rFonts w:ascii="Times New Roman" w:hAnsi="Times New Roman" w:cs="Times New Roman"/>
          <w:sz w:val="24"/>
          <w:szCs w:val="24"/>
        </w:rPr>
        <w:t xml:space="preserve"> Ma) </w:t>
      </w:r>
    </w:p>
    <w:p w14:paraId="717F0B5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A.15.1 Comments </w:t>
      </w:r>
    </w:p>
    <w:p w14:paraId="31E326C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The committee commends the amount of work carried out since the last IARC meeting and </w:t>
      </w:r>
      <w:r w:rsidRPr="002B1BDF">
        <w:rPr>
          <w:rFonts w:ascii="Times New Roman" w:hAnsi="Times New Roman" w:cs="Times New Roman"/>
          <w:sz w:val="22"/>
        </w:rPr>
        <w:lastRenderedPageBreak/>
        <w:t xml:space="preserve">most of all its quality. Many new results have been presented, concerning the fabrication of the vacuum chambers, NEG-coating deposition facility, cold-sprayed resistive heating elements, and more. The situation seems to be under control, although there are still a number of items that need to be prototyped and </w:t>
      </w:r>
      <w:proofErr w:type="spellStart"/>
      <w:r w:rsidRPr="002B1BDF">
        <w:rPr>
          <w:rFonts w:ascii="Times New Roman" w:hAnsi="Times New Roman" w:cs="Times New Roman"/>
          <w:sz w:val="22"/>
        </w:rPr>
        <w:t>analysed</w:t>
      </w:r>
      <w:proofErr w:type="spellEnd"/>
      <w:r w:rsidRPr="002B1BDF">
        <w:rPr>
          <w:rFonts w:ascii="Times New Roman" w:hAnsi="Times New Roman" w:cs="Times New Roman"/>
          <w:sz w:val="22"/>
        </w:rPr>
        <w:t xml:space="preserve">, namely the fabrication technology and welding procedure for the SR absorbers. In particular, the complex facility for depositing NEG-coating in a horizontal position needs particular attention, although the present design seems feasible and capable of reaching the desired result. The response to two recommendations made at the previous IARC meeting have been answered. </w:t>
      </w:r>
    </w:p>
    <w:p w14:paraId="72538B37" w14:textId="77777777" w:rsidR="00406C66" w:rsidRPr="002B1BDF" w:rsidRDefault="00406C66" w:rsidP="00B21F92">
      <w:pPr>
        <w:spacing w:line="360" w:lineRule="auto"/>
        <w:ind w:firstLineChars="176" w:firstLine="387"/>
        <w:rPr>
          <w:rFonts w:ascii="Times New Roman" w:hAnsi="Times New Roman" w:cs="Times New Roman"/>
          <w:sz w:val="22"/>
        </w:rPr>
      </w:pPr>
    </w:p>
    <w:p w14:paraId="0A109E8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3A9EDAC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Synchrotron radiation absorbers are an ideal solution for the collider ring to absorb and dissipate synchrotron radiation power. The development of their manufacturing techniques and welding procedures is planned for the next step.</w:t>
      </w:r>
    </w:p>
    <w:p w14:paraId="7B3C5C3C" w14:textId="77777777" w:rsidR="00406C66" w:rsidRPr="002B1BDF" w:rsidRDefault="00406C66" w:rsidP="00B21F92">
      <w:pPr>
        <w:spacing w:line="360" w:lineRule="auto"/>
        <w:ind w:firstLineChars="176" w:firstLine="387"/>
        <w:rPr>
          <w:rFonts w:ascii="Times New Roman" w:hAnsi="Times New Roman" w:cs="Times New Roman"/>
          <w:sz w:val="22"/>
        </w:rPr>
      </w:pPr>
    </w:p>
    <w:p w14:paraId="55AB565E"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To enable automated assembly for NEG coating of the 11.5-meter-long vacuum chambers, a horizontal operation setup is required. Although a vertical orientation is more favorable for the coating process—due to the thermal expansion of both the cathode and vacuum chamber after baking—it demands considerably more space. A vertical configuration may be adopted for future large-scale NEG coating operations.</w:t>
      </w:r>
    </w:p>
    <w:p w14:paraId="5982A25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10A.15.2 Recommendations </w:t>
      </w:r>
    </w:p>
    <w:p w14:paraId="039BBE3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No particular recommendation is made.</w:t>
      </w:r>
    </w:p>
    <w:p w14:paraId="2E1346F8"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A.16 Control system (Dapeng Jin)</w:t>
      </w:r>
    </w:p>
    <w:p w14:paraId="34965264" w14:textId="77777777" w:rsidR="00406C66" w:rsidRPr="002B1BDF" w:rsidRDefault="00406C66" w:rsidP="006968AF">
      <w:pPr>
        <w:pStyle w:val="a4"/>
        <w:numPr>
          <w:ilvl w:val="0"/>
          <w:numId w:val="4"/>
        </w:numPr>
        <w:autoSpaceDE w:val="0"/>
        <w:autoSpaceDN w:val="0"/>
        <w:adjustRightInd w:val="0"/>
        <w:spacing w:line="360" w:lineRule="auto"/>
        <w:ind w:left="1" w:firstLineChars="0" w:hanging="1"/>
        <w:jc w:val="left"/>
        <w:rPr>
          <w:rFonts w:ascii="Times New Roman" w:eastAsia="CMR10" w:hAnsi="Times New Roman" w:cs="Times New Roman"/>
          <w:kern w:val="0"/>
          <w:sz w:val="22"/>
        </w:rPr>
      </w:pPr>
      <w:r w:rsidRPr="002B1BDF">
        <w:rPr>
          <w:rFonts w:ascii="Times New Roman" w:eastAsia="CMR10" w:hAnsi="Times New Roman" w:cs="Times New Roman"/>
          <w:kern w:val="0"/>
          <w:sz w:val="22"/>
        </w:rPr>
        <w:t>Increase the number of staff in the Control Group to facilitate development and hardware group support;</w:t>
      </w:r>
    </w:p>
    <w:p w14:paraId="05E39CF3" w14:textId="77777777" w:rsidR="00406C66" w:rsidRPr="002B1BDF" w:rsidRDefault="00406C66" w:rsidP="006968AF">
      <w:pPr>
        <w:autoSpaceDE w:val="0"/>
        <w:autoSpaceDN w:val="0"/>
        <w:adjustRightInd w:val="0"/>
        <w:spacing w:line="360" w:lineRule="auto"/>
        <w:ind w:left="1" w:hanging="1"/>
        <w:jc w:val="left"/>
        <w:rPr>
          <w:rFonts w:ascii="Times New Roman" w:hAnsi="Times New Roman" w:cs="Times New Roman"/>
          <w:kern w:val="0"/>
          <w:sz w:val="22"/>
        </w:rPr>
      </w:pPr>
      <w:r w:rsidRPr="002B1BDF">
        <w:rPr>
          <w:rFonts w:ascii="Times New Roman" w:hAnsi="Times New Roman" w:cs="Times New Roman"/>
          <w:kern w:val="0"/>
          <w:sz w:val="22"/>
        </w:rPr>
        <w:t>R: This will be considered within the overall Accelerator Division.</w:t>
      </w:r>
    </w:p>
    <w:p w14:paraId="0808C8DC" w14:textId="77777777" w:rsidR="00406C66" w:rsidRPr="002B1BDF" w:rsidRDefault="00406C66" w:rsidP="006968AF">
      <w:pPr>
        <w:pStyle w:val="a4"/>
        <w:numPr>
          <w:ilvl w:val="0"/>
          <w:numId w:val="4"/>
        </w:numPr>
        <w:autoSpaceDE w:val="0"/>
        <w:autoSpaceDN w:val="0"/>
        <w:adjustRightInd w:val="0"/>
        <w:spacing w:line="360" w:lineRule="auto"/>
        <w:ind w:left="1" w:firstLineChars="0" w:hanging="1"/>
        <w:jc w:val="left"/>
        <w:rPr>
          <w:rFonts w:ascii="Times New Roman" w:eastAsia="CMR10" w:hAnsi="Times New Roman" w:cs="Times New Roman"/>
          <w:kern w:val="0"/>
          <w:sz w:val="22"/>
        </w:rPr>
      </w:pPr>
      <w:r w:rsidRPr="002B1BDF">
        <w:rPr>
          <w:rFonts w:ascii="Times New Roman" w:eastAsia="CMR10" w:hAnsi="Times New Roman" w:cs="Times New Roman"/>
          <w:kern w:val="0"/>
          <w:sz w:val="22"/>
        </w:rPr>
        <w:t>Validate the clock stability for the reference line;</w:t>
      </w:r>
    </w:p>
    <w:p w14:paraId="540E4456" w14:textId="77777777" w:rsidR="00406C66" w:rsidRPr="002B1BDF" w:rsidRDefault="00406C66" w:rsidP="006968AF">
      <w:pPr>
        <w:pStyle w:val="a4"/>
        <w:autoSpaceDE w:val="0"/>
        <w:autoSpaceDN w:val="0"/>
        <w:adjustRightInd w:val="0"/>
        <w:spacing w:line="360" w:lineRule="auto"/>
        <w:ind w:left="1" w:firstLineChars="0" w:hanging="1"/>
        <w:jc w:val="left"/>
        <w:rPr>
          <w:rFonts w:ascii="Times New Roman" w:eastAsia="CMR10" w:hAnsi="Times New Roman" w:cs="Times New Roman"/>
          <w:kern w:val="0"/>
          <w:sz w:val="22"/>
        </w:rPr>
      </w:pPr>
      <w:r w:rsidRPr="002B1BDF">
        <w:rPr>
          <w:rFonts w:ascii="Times New Roman" w:hAnsi="Times New Roman" w:cs="Times New Roman"/>
          <w:kern w:val="0"/>
          <w:sz w:val="22"/>
        </w:rPr>
        <w:t xml:space="preserve">R: The stability of the reference line itself is very good with jitter around 30fs. Study of the clock reference to the BPMs in the 100km ring together with the timing system will be further </w:t>
      </w:r>
      <w:r w:rsidRPr="002B1BDF">
        <w:rPr>
          <w:rFonts w:ascii="Times New Roman" w:hAnsi="Times New Roman" w:cs="Times New Roman"/>
          <w:kern w:val="0"/>
          <w:sz w:val="22"/>
        </w:rPr>
        <w:lastRenderedPageBreak/>
        <w:t>done to try to get a clock jitter below 1ps.</w:t>
      </w:r>
    </w:p>
    <w:p w14:paraId="42607BB9" w14:textId="77777777" w:rsidR="00406C66" w:rsidRPr="002B1BDF" w:rsidRDefault="00406C66" w:rsidP="006968AF">
      <w:pPr>
        <w:autoSpaceDE w:val="0"/>
        <w:autoSpaceDN w:val="0"/>
        <w:adjustRightInd w:val="0"/>
        <w:spacing w:line="360" w:lineRule="auto"/>
        <w:ind w:left="1" w:hanging="1"/>
        <w:jc w:val="left"/>
        <w:rPr>
          <w:rFonts w:ascii="Times New Roman" w:eastAsia="CMR10" w:hAnsi="Times New Roman" w:cs="Times New Roman"/>
          <w:kern w:val="0"/>
          <w:sz w:val="22"/>
        </w:rPr>
      </w:pPr>
      <w:r w:rsidRPr="002B1BDF">
        <w:rPr>
          <w:rFonts w:ascii="Times New Roman" w:eastAsia="CMR10" w:hAnsi="Times New Roman" w:cs="Times New Roman"/>
          <w:kern w:val="0"/>
          <w:sz w:val="22"/>
        </w:rPr>
        <w:t>3. Establish common understanding on how to share the task involved in the development of the operation interfaces.</w:t>
      </w:r>
    </w:p>
    <w:p w14:paraId="0A7731F1" w14:textId="77777777" w:rsidR="00406C66" w:rsidRPr="002B1BDF" w:rsidRDefault="00406C66" w:rsidP="006968AF">
      <w:pPr>
        <w:autoSpaceDE w:val="0"/>
        <w:autoSpaceDN w:val="0"/>
        <w:adjustRightInd w:val="0"/>
        <w:spacing w:line="360" w:lineRule="auto"/>
        <w:ind w:left="1" w:hanging="1"/>
        <w:jc w:val="left"/>
        <w:rPr>
          <w:rFonts w:ascii="Times New Roman" w:hAnsi="Times New Roman" w:cs="Times New Roman"/>
          <w:sz w:val="22"/>
        </w:rPr>
      </w:pPr>
      <w:r w:rsidRPr="002B1BDF">
        <w:rPr>
          <w:rFonts w:ascii="Times New Roman" w:hAnsi="Times New Roman" w:cs="Times New Roman"/>
          <w:sz w:val="22"/>
        </w:rPr>
        <w:t xml:space="preserve">R: EPICS is selected as the global control platform at this stage. For the beam commissioning software, it will be developed mainly by the accelerator physics group with the support of computing servers, developing environment and value-access from the control group. The values of the whole accelerator will be provided and archived by the control group together with the instrumentation system, the RF system, the </w:t>
      </w:r>
      <w:proofErr w:type="spellStart"/>
      <w:r w:rsidRPr="002B1BDF">
        <w:rPr>
          <w:rFonts w:ascii="Times New Roman" w:hAnsi="Times New Roman" w:cs="Times New Roman"/>
          <w:sz w:val="22"/>
        </w:rPr>
        <w:t>Linac</w:t>
      </w:r>
      <w:proofErr w:type="spellEnd"/>
      <w:r w:rsidRPr="002B1BDF">
        <w:rPr>
          <w:rFonts w:ascii="Times New Roman" w:hAnsi="Times New Roman" w:cs="Times New Roman"/>
          <w:sz w:val="22"/>
        </w:rPr>
        <w:t xml:space="preserve"> system and so on.</w:t>
      </w:r>
    </w:p>
    <w:p w14:paraId="59CF64CD"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A.17 Collimators in the collider rings (</w:t>
      </w:r>
      <w:proofErr w:type="spellStart"/>
      <w:r w:rsidRPr="002B1BDF">
        <w:rPr>
          <w:rFonts w:ascii="Times New Roman" w:hAnsi="Times New Roman" w:cs="Times New Roman"/>
          <w:sz w:val="24"/>
          <w:szCs w:val="24"/>
        </w:rPr>
        <w:t>Xiaohao</w:t>
      </w:r>
      <w:proofErr w:type="spellEnd"/>
      <w:r w:rsidRPr="002B1BDF">
        <w:rPr>
          <w:rFonts w:ascii="Times New Roman" w:hAnsi="Times New Roman" w:cs="Times New Roman"/>
          <w:sz w:val="24"/>
          <w:szCs w:val="24"/>
        </w:rPr>
        <w:t xml:space="preserve"> Cui)</w:t>
      </w:r>
    </w:p>
    <w:p w14:paraId="045ADFDF" w14:textId="77777777" w:rsidR="00406C66" w:rsidRPr="002B1BDF" w:rsidRDefault="00406C66" w:rsidP="00B21F92">
      <w:pPr>
        <w:widowControl/>
        <w:shd w:val="clear" w:color="auto" w:fill="FFFFFF"/>
        <w:spacing w:line="360" w:lineRule="auto"/>
        <w:ind w:firstLineChars="176" w:firstLine="387"/>
        <w:jc w:val="left"/>
        <w:textAlignment w:val="baseline"/>
        <w:rPr>
          <w:rFonts w:ascii="Times New Roman" w:eastAsia="宋体" w:hAnsi="Times New Roman" w:cs="Times New Roman"/>
          <w:kern w:val="0"/>
          <w:sz w:val="22"/>
        </w:rPr>
      </w:pPr>
    </w:p>
    <w:p w14:paraId="2D4B27DC" w14:textId="77777777" w:rsidR="00406C66" w:rsidRPr="002B1BDF" w:rsidRDefault="00406C66" w:rsidP="00B21F92">
      <w:pPr>
        <w:widowControl/>
        <w:shd w:val="clear" w:color="auto" w:fill="FFFFFF"/>
        <w:spacing w:line="360" w:lineRule="auto"/>
        <w:ind w:firstLineChars="176" w:firstLine="387"/>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Thank you very much for your careful review and for the constructive comments.</w:t>
      </w:r>
    </w:p>
    <w:p w14:paraId="3744DF17" w14:textId="77777777" w:rsidR="00406C66" w:rsidRPr="002B1BDF" w:rsidRDefault="00406C66" w:rsidP="00B21F92">
      <w:pPr>
        <w:widowControl/>
        <w:shd w:val="clear" w:color="auto" w:fill="FFFFFF"/>
        <w:spacing w:line="360" w:lineRule="auto"/>
        <w:ind w:firstLineChars="176" w:firstLine="387"/>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A.17.2 Recommendations – specific reply</w:t>
      </w:r>
    </w:p>
    <w:p w14:paraId="682F49B9" w14:textId="77777777" w:rsidR="00406C66" w:rsidRPr="002B1BDF" w:rsidRDefault="00406C66" w:rsidP="006968AF">
      <w:pPr>
        <w:widowControl/>
        <w:numPr>
          <w:ilvl w:val="0"/>
          <w:numId w:val="5"/>
        </w:numPr>
        <w:shd w:val="clear" w:color="auto" w:fill="FFFFFF"/>
        <w:spacing w:line="360" w:lineRule="auto"/>
        <w:ind w:leftChars="-4" w:left="1" w:hangingChars="5" w:hanging="11"/>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Turn-by-turn beam-loss maps and “first-loss” collimator identification</w:t>
      </w:r>
      <w:r w:rsidRPr="002B1BDF">
        <w:rPr>
          <w:rFonts w:ascii="Times New Roman" w:eastAsia="宋体" w:hAnsi="Times New Roman" w:cs="Times New Roman"/>
          <w:kern w:val="0"/>
          <w:sz w:val="22"/>
        </w:rPr>
        <w:br/>
        <w:t xml:space="preserve">We agree that identifying the collimator that intercepts the beam first is essential for </w:t>
      </w:r>
      <w:proofErr w:type="spellStart"/>
      <w:r w:rsidRPr="002B1BDF">
        <w:rPr>
          <w:rFonts w:ascii="Times New Roman" w:eastAsia="宋体" w:hAnsi="Times New Roman" w:cs="Times New Roman"/>
          <w:kern w:val="0"/>
          <w:sz w:val="22"/>
        </w:rPr>
        <w:t>optimising</w:t>
      </w:r>
      <w:proofErr w:type="spellEnd"/>
      <w:r w:rsidRPr="002B1BDF">
        <w:rPr>
          <w:rFonts w:ascii="Times New Roman" w:eastAsia="宋体" w:hAnsi="Times New Roman" w:cs="Times New Roman"/>
          <w:kern w:val="0"/>
          <w:sz w:val="22"/>
        </w:rPr>
        <w:t xml:space="preserve"> the beam-dump. We will extend the simulations to more turns and record the loss distribution at every turn.</w:t>
      </w:r>
    </w:p>
    <w:p w14:paraId="792C2C46" w14:textId="77777777" w:rsidR="00406C66" w:rsidRPr="002B1BDF" w:rsidRDefault="00406C66" w:rsidP="006968AF">
      <w:pPr>
        <w:widowControl/>
        <w:numPr>
          <w:ilvl w:val="0"/>
          <w:numId w:val="5"/>
        </w:numPr>
        <w:shd w:val="clear" w:color="auto" w:fill="FFFFFF"/>
        <w:spacing w:line="360" w:lineRule="auto"/>
        <w:ind w:leftChars="-4" w:left="1" w:hangingChars="5" w:hanging="11"/>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Aperture values in beam-σ units</w:t>
      </w:r>
      <w:r w:rsidRPr="002B1BDF">
        <w:rPr>
          <w:rFonts w:ascii="Times New Roman" w:eastAsia="宋体" w:hAnsi="Times New Roman" w:cs="Times New Roman"/>
          <w:kern w:val="0"/>
          <w:sz w:val="22"/>
        </w:rPr>
        <w:br/>
        <w:t xml:space="preserve">All collimator half-apertures will be quoted in both </w:t>
      </w:r>
      <w:proofErr w:type="spellStart"/>
      <w:r w:rsidRPr="002B1BDF">
        <w:rPr>
          <w:rFonts w:ascii="Times New Roman" w:eastAsia="宋体" w:hAnsi="Times New Roman" w:cs="Times New Roman"/>
          <w:kern w:val="0"/>
          <w:sz w:val="22"/>
        </w:rPr>
        <w:t>millimetres</w:t>
      </w:r>
      <w:proofErr w:type="spellEnd"/>
      <w:r w:rsidRPr="002B1BDF">
        <w:rPr>
          <w:rFonts w:ascii="Times New Roman" w:eastAsia="宋体" w:hAnsi="Times New Roman" w:cs="Times New Roman"/>
          <w:kern w:val="0"/>
          <w:sz w:val="22"/>
        </w:rPr>
        <w:t xml:space="preserve"> and nominal beam size </w:t>
      </w:r>
    </w:p>
    <w:p w14:paraId="2EAB731D" w14:textId="77777777" w:rsidR="00406C66" w:rsidRPr="002B1BDF" w:rsidRDefault="00406C66" w:rsidP="006968AF">
      <w:pPr>
        <w:widowControl/>
        <w:numPr>
          <w:ilvl w:val="0"/>
          <w:numId w:val="5"/>
        </w:numPr>
        <w:shd w:val="clear" w:color="auto" w:fill="FFFFFF"/>
        <w:spacing w:line="360" w:lineRule="auto"/>
        <w:ind w:leftChars="-4" w:left="1" w:hangingChars="5" w:hanging="11"/>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Final-focus superconducting-magnet failure</w:t>
      </w:r>
      <w:r w:rsidRPr="002B1BDF">
        <w:rPr>
          <w:rFonts w:ascii="Times New Roman" w:eastAsia="宋体" w:hAnsi="Times New Roman" w:cs="Times New Roman"/>
          <w:kern w:val="0"/>
          <w:sz w:val="22"/>
        </w:rPr>
        <w:br/>
        <w:t>The loss tracking with superconducting-magnet failure will be done in more details and a detailed energy-deposition study (FLUKA) has been started to verify whether quench-protection heaters or the coil itself risk permanent damage.</w:t>
      </w:r>
    </w:p>
    <w:p w14:paraId="026BF8C7" w14:textId="77777777" w:rsidR="00406C66" w:rsidRPr="002B1BDF" w:rsidRDefault="00406C66" w:rsidP="006968AF">
      <w:pPr>
        <w:widowControl/>
        <w:numPr>
          <w:ilvl w:val="0"/>
          <w:numId w:val="6"/>
        </w:numPr>
        <w:shd w:val="clear" w:color="auto" w:fill="FFFFFF"/>
        <w:spacing w:line="360" w:lineRule="auto"/>
        <w:ind w:leftChars="-4" w:left="1" w:hangingChars="5" w:hanging="11"/>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Fast beam-abort systems: we are preparing a cost-and-installation study for two supplementary dumps.</w:t>
      </w:r>
    </w:p>
    <w:p w14:paraId="0333AA96" w14:textId="77777777" w:rsidR="00406C66" w:rsidRPr="002B1BDF" w:rsidRDefault="00406C66" w:rsidP="006968AF">
      <w:pPr>
        <w:widowControl/>
        <w:numPr>
          <w:ilvl w:val="0"/>
          <w:numId w:val="6"/>
        </w:numPr>
        <w:shd w:val="clear" w:color="auto" w:fill="FFFFFF"/>
        <w:spacing w:line="360" w:lineRule="auto"/>
        <w:ind w:leftChars="-4" w:left="1" w:hangingChars="5" w:hanging="11"/>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 xml:space="preserve">Aperture </w:t>
      </w:r>
      <w:proofErr w:type="spellStart"/>
      <w:r w:rsidRPr="002B1BDF">
        <w:rPr>
          <w:rFonts w:ascii="Times New Roman" w:eastAsia="宋体" w:hAnsi="Times New Roman" w:cs="Times New Roman"/>
          <w:kern w:val="0"/>
          <w:sz w:val="22"/>
        </w:rPr>
        <w:t>optimisation</w:t>
      </w:r>
      <w:proofErr w:type="spellEnd"/>
      <w:r w:rsidRPr="002B1BDF">
        <w:rPr>
          <w:rFonts w:ascii="Times New Roman" w:eastAsia="宋体" w:hAnsi="Times New Roman" w:cs="Times New Roman"/>
          <w:kern w:val="0"/>
          <w:sz w:val="22"/>
        </w:rPr>
        <w:t xml:space="preserve"> including impedance: Discussions with impedance colleagues are undergoing, we’ll consider their suggestions in the future collimator optimization.</w:t>
      </w:r>
    </w:p>
    <w:p w14:paraId="7023EA20" w14:textId="77777777" w:rsidR="00406C66" w:rsidRPr="002B1BDF" w:rsidRDefault="00406C66" w:rsidP="00B21F92">
      <w:pPr>
        <w:widowControl/>
        <w:shd w:val="clear" w:color="auto" w:fill="FFFFFF"/>
        <w:spacing w:line="360" w:lineRule="auto"/>
        <w:ind w:firstLineChars="176" w:firstLine="387"/>
        <w:jc w:val="left"/>
        <w:textAlignment w:val="baseline"/>
        <w:rPr>
          <w:rFonts w:ascii="Times New Roman" w:eastAsia="宋体" w:hAnsi="Times New Roman" w:cs="Times New Roman"/>
          <w:kern w:val="0"/>
          <w:sz w:val="22"/>
        </w:rPr>
      </w:pPr>
      <w:r w:rsidRPr="002B1BDF">
        <w:rPr>
          <w:rFonts w:ascii="Times New Roman" w:eastAsia="宋体" w:hAnsi="Times New Roman" w:cs="Times New Roman"/>
          <w:kern w:val="0"/>
          <w:sz w:val="22"/>
        </w:rPr>
        <w:t xml:space="preserve">Once </w:t>
      </w:r>
      <w:proofErr w:type="gramStart"/>
      <w:r w:rsidRPr="002B1BDF">
        <w:rPr>
          <w:rFonts w:ascii="Times New Roman" w:eastAsia="宋体" w:hAnsi="Times New Roman" w:cs="Times New Roman"/>
          <w:kern w:val="0"/>
          <w:sz w:val="22"/>
        </w:rPr>
        <w:t>again</w:t>
      </w:r>
      <w:proofErr w:type="gramEnd"/>
      <w:r w:rsidRPr="002B1BDF">
        <w:rPr>
          <w:rFonts w:ascii="Times New Roman" w:eastAsia="宋体" w:hAnsi="Times New Roman" w:cs="Times New Roman"/>
          <w:kern w:val="0"/>
          <w:sz w:val="22"/>
        </w:rPr>
        <w:t xml:space="preserve"> we thank the committee for the helpful guidance.</w:t>
      </w:r>
    </w:p>
    <w:p w14:paraId="2CD9AFDA" w14:textId="77777777" w:rsidR="00406C66" w:rsidRPr="002B1BDF" w:rsidRDefault="00406C66" w:rsidP="00B21F92">
      <w:pPr>
        <w:spacing w:line="360" w:lineRule="auto"/>
        <w:ind w:firstLineChars="176" w:firstLine="387"/>
        <w:rPr>
          <w:rFonts w:ascii="Times New Roman" w:hAnsi="Times New Roman" w:cs="Times New Roman"/>
          <w:sz w:val="22"/>
        </w:rPr>
      </w:pPr>
    </w:p>
    <w:p w14:paraId="3F1F00A8"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lastRenderedPageBreak/>
        <w:t>A.18 DeepC electronic documentation system (Song Jin, Lei Yei)</w:t>
      </w:r>
    </w:p>
    <w:p w14:paraId="236914E2" w14:textId="77777777" w:rsidR="00406C66" w:rsidRPr="002B1BDF" w:rsidRDefault="00406C66" w:rsidP="00B21F92">
      <w:pPr>
        <w:autoSpaceDE w:val="0"/>
        <w:autoSpaceDN w:val="0"/>
        <w:adjustRightInd w:val="0"/>
        <w:spacing w:line="360" w:lineRule="auto"/>
        <w:ind w:firstLineChars="176" w:firstLine="387"/>
        <w:rPr>
          <w:rFonts w:ascii="Times New Roman" w:eastAsia="CMBX10" w:hAnsi="Times New Roman" w:cs="Times New Roman"/>
          <w:kern w:val="0"/>
          <w:sz w:val="22"/>
        </w:rPr>
      </w:pPr>
      <w:r w:rsidRPr="002B1BDF">
        <w:rPr>
          <w:rFonts w:ascii="Times New Roman" w:eastAsia="CMBX10" w:hAnsi="Times New Roman" w:cs="Times New Roman"/>
          <w:kern w:val="0"/>
          <w:sz w:val="22"/>
        </w:rPr>
        <w:t>A.18.1 Comments</w:t>
      </w:r>
    </w:p>
    <w:p w14:paraId="1152F281" w14:textId="77777777" w:rsidR="00406C66" w:rsidRPr="002B1BDF" w:rsidRDefault="00406C66" w:rsidP="00B21F92">
      <w:pPr>
        <w:autoSpaceDE w:val="0"/>
        <w:autoSpaceDN w:val="0"/>
        <w:adjustRightInd w:val="0"/>
        <w:spacing w:line="360" w:lineRule="auto"/>
        <w:ind w:firstLineChars="176" w:firstLine="387"/>
        <w:rPr>
          <w:rFonts w:ascii="Times New Roman" w:eastAsia="CMR10" w:hAnsi="Times New Roman" w:cs="Times New Roman"/>
          <w:kern w:val="0"/>
          <w:sz w:val="22"/>
        </w:rPr>
      </w:pPr>
      <w:r w:rsidRPr="002B1BDF">
        <w:rPr>
          <w:rFonts w:ascii="Times New Roman" w:eastAsia="CMR10" w:hAnsi="Times New Roman" w:cs="Times New Roman"/>
          <w:kern w:val="0"/>
          <w:sz w:val="22"/>
        </w:rPr>
        <w:t>The committee congratulates the significant progress in development of DeepC system with the collaboration of HDEC. It is already evaluated by a part of CEPC project. The data accumulating after accelerator commissioning is currently unrelated to the DeepC system. Investigating correlations after accelerator operation using powerful AI systems holds significant meaning for improving accelerator performance. Therefore, the committee recommends establishing methods to effectively utilize accelerator data.</w:t>
      </w:r>
    </w:p>
    <w:p w14:paraId="362DEE85" w14:textId="77777777" w:rsidR="00406C66" w:rsidRPr="002B1BDF" w:rsidRDefault="00406C66" w:rsidP="00B21F92">
      <w:pPr>
        <w:autoSpaceDE w:val="0"/>
        <w:autoSpaceDN w:val="0"/>
        <w:adjustRightInd w:val="0"/>
        <w:spacing w:line="360" w:lineRule="auto"/>
        <w:ind w:firstLineChars="176" w:firstLine="387"/>
        <w:rPr>
          <w:rFonts w:ascii="Times New Roman" w:eastAsia="CMBX10" w:hAnsi="Times New Roman" w:cs="Times New Roman"/>
          <w:kern w:val="0"/>
          <w:sz w:val="22"/>
        </w:rPr>
      </w:pPr>
      <w:r w:rsidRPr="002B1BDF">
        <w:rPr>
          <w:rFonts w:ascii="Times New Roman" w:eastAsia="CMBX10" w:hAnsi="Times New Roman" w:cs="Times New Roman"/>
          <w:kern w:val="0"/>
          <w:sz w:val="22"/>
        </w:rPr>
        <w:t>A.18.2 Recommendations</w:t>
      </w:r>
    </w:p>
    <w:p w14:paraId="1B242BE0" w14:textId="77777777" w:rsidR="00406C66" w:rsidRPr="002B1BDF" w:rsidRDefault="00406C66" w:rsidP="00B21F92">
      <w:pPr>
        <w:spacing w:line="360" w:lineRule="auto"/>
        <w:ind w:firstLineChars="176" w:firstLine="387"/>
        <w:rPr>
          <w:rFonts w:ascii="Times New Roman" w:eastAsia="CMR10" w:hAnsi="Times New Roman" w:cs="Times New Roman"/>
          <w:kern w:val="0"/>
          <w:sz w:val="22"/>
        </w:rPr>
      </w:pPr>
      <w:r w:rsidRPr="002B1BDF">
        <w:rPr>
          <w:rFonts w:ascii="Times New Roman" w:eastAsia="CMR10" w:hAnsi="Times New Roman" w:cs="Times New Roman"/>
          <w:kern w:val="0"/>
          <w:sz w:val="22"/>
        </w:rPr>
        <w:t>1. Consider the data integration system with the accelerator operation archived data.</w:t>
      </w:r>
    </w:p>
    <w:p w14:paraId="55B3F5C2" w14:textId="77777777" w:rsidR="00406C66" w:rsidRPr="002B1BDF" w:rsidRDefault="00406C66" w:rsidP="00B21F92">
      <w:pPr>
        <w:spacing w:line="360" w:lineRule="auto"/>
        <w:ind w:firstLineChars="176" w:firstLine="387"/>
        <w:rPr>
          <w:rFonts w:ascii="Times New Roman" w:eastAsiaTheme="minorEastAsia" w:hAnsi="Times New Roman" w:cs="Times New Roman"/>
          <w:kern w:val="0"/>
          <w:sz w:val="22"/>
        </w:rPr>
      </w:pPr>
    </w:p>
    <w:p w14:paraId="73E7F4F5" w14:textId="77777777" w:rsidR="00406C66" w:rsidRPr="002B1BDF" w:rsidRDefault="00406C66" w:rsidP="00B21F92">
      <w:pPr>
        <w:spacing w:line="360" w:lineRule="auto"/>
        <w:ind w:firstLineChars="176" w:firstLine="387"/>
        <w:rPr>
          <w:rFonts w:ascii="Times New Roman" w:eastAsiaTheme="minorEastAsia" w:hAnsi="Times New Roman" w:cs="Times New Roman"/>
          <w:kern w:val="0"/>
          <w:sz w:val="22"/>
        </w:rPr>
      </w:pPr>
      <w:r w:rsidRPr="002B1BDF">
        <w:rPr>
          <w:rFonts w:ascii="Times New Roman" w:eastAsiaTheme="minorEastAsia" w:hAnsi="Times New Roman" w:cs="Times New Roman"/>
          <w:kern w:val="0"/>
          <w:sz w:val="22"/>
        </w:rPr>
        <w:t>Response: Thank you very much for your insightful recommendation. It prompted a serious discussion within the CIPC group. While DeepC is currently focused on project construction, our ultimate vision is to establish it as a comprehensive software platform for scientific projects. Your guidance has given us a clear target to pursue.</w:t>
      </w:r>
    </w:p>
    <w:p w14:paraId="24AD40E9" w14:textId="77777777" w:rsidR="00406C66" w:rsidRPr="002B1BDF" w:rsidRDefault="00406C66" w:rsidP="00B21F92">
      <w:pPr>
        <w:spacing w:line="360" w:lineRule="auto"/>
        <w:ind w:firstLineChars="176" w:firstLine="387"/>
        <w:rPr>
          <w:rFonts w:ascii="Times New Roman" w:eastAsiaTheme="minorEastAsia" w:hAnsi="Times New Roman" w:cs="Times New Roman"/>
          <w:sz w:val="22"/>
        </w:rPr>
      </w:pPr>
      <w:r w:rsidRPr="002B1BDF">
        <w:rPr>
          <w:rFonts w:ascii="Times New Roman" w:eastAsiaTheme="minorEastAsia" w:hAnsi="Times New Roman" w:cs="Times New Roman"/>
          <w:kern w:val="0"/>
          <w:sz w:val="22"/>
        </w:rPr>
        <w:t>Next, we will consult the accelerator-control group to devise a concrete integration plan. In general, two approaches are possible: full system-level integration or data-acquisition-only integration. At present we lean toward the latter, but we will proceed carefully before making a final decision.</w:t>
      </w:r>
    </w:p>
    <w:p w14:paraId="1FDE7477"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A.19 CEPC high efficiency klystron development (</w:t>
      </w:r>
      <w:proofErr w:type="spellStart"/>
      <w:r w:rsidRPr="002B1BDF">
        <w:rPr>
          <w:rFonts w:ascii="Times New Roman" w:hAnsi="Times New Roman" w:cs="Times New Roman"/>
          <w:sz w:val="24"/>
          <w:szCs w:val="24"/>
        </w:rPr>
        <w:t>Zusheng</w:t>
      </w:r>
      <w:proofErr w:type="spellEnd"/>
      <w:r w:rsidRPr="002B1BDF">
        <w:rPr>
          <w:rFonts w:ascii="Times New Roman" w:hAnsi="Times New Roman" w:cs="Times New Roman"/>
          <w:sz w:val="24"/>
          <w:szCs w:val="24"/>
        </w:rPr>
        <w:t xml:space="preserve"> Zhou)</w:t>
      </w:r>
    </w:p>
    <w:p w14:paraId="3426CD7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A.19.2 Recommendations</w:t>
      </w:r>
    </w:p>
    <w:p w14:paraId="4FA4A06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 Continue to encourage the development of high-efficiency and high-power klystrons, while recognizing the challenges in evaluating their long-term performance;</w:t>
      </w:r>
    </w:p>
    <w:p w14:paraId="79AAC65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p>
    <w:p w14:paraId="278869E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The energy-recovery klystron (ERK) technology is currently under active development, and high-efficiency design strategies will be adopted in the domestic klystron program for the CSNS-II upgrade. These efforts aim to improve overall system efficiency, reduce operational </w:t>
      </w:r>
      <w:r w:rsidRPr="002B1BDF">
        <w:rPr>
          <w:rFonts w:ascii="Times New Roman" w:hAnsi="Times New Roman" w:cs="Times New Roman"/>
          <w:sz w:val="22"/>
        </w:rPr>
        <w:lastRenderedPageBreak/>
        <w:t>costs, and enhance long-term reliability.</w:t>
      </w:r>
    </w:p>
    <w:p w14:paraId="37546D0F" w14:textId="77777777" w:rsidR="00406C66" w:rsidRPr="002B1BDF" w:rsidRDefault="00406C66" w:rsidP="00B21F92">
      <w:pPr>
        <w:spacing w:line="360" w:lineRule="auto"/>
        <w:ind w:firstLineChars="176" w:firstLine="387"/>
        <w:rPr>
          <w:rFonts w:ascii="Times New Roman" w:hAnsi="Times New Roman" w:cs="Times New Roman"/>
          <w:sz w:val="22"/>
        </w:rPr>
      </w:pPr>
    </w:p>
    <w:p w14:paraId="3CE8A89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 Carefully assess the lifetime of critical components, and establish replacement scenarios and test-bench arrangements accordingly;</w:t>
      </w:r>
    </w:p>
    <w:p w14:paraId="4499C33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p>
    <w:p w14:paraId="59E3CF1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We are preparing a detailed assessment of the long-term lifetime of critical components, particularly the resonant ring and the cathode. Accelerated aging tests and long-duration operation studies are being arranged, and the results will be used to define appropriate replacement scenarios and to establish dedicated test-bench setups for reliable qualification and verification.</w:t>
      </w:r>
    </w:p>
    <w:p w14:paraId="138C1CE4" w14:textId="77777777" w:rsidR="00406C66" w:rsidRPr="002B1BDF" w:rsidRDefault="00406C66" w:rsidP="00B21F92">
      <w:pPr>
        <w:spacing w:line="360" w:lineRule="auto"/>
        <w:ind w:firstLineChars="176" w:firstLine="387"/>
        <w:rPr>
          <w:rFonts w:ascii="Times New Roman" w:hAnsi="Times New Roman" w:cs="Times New Roman"/>
          <w:sz w:val="22"/>
        </w:rPr>
      </w:pPr>
    </w:p>
    <w:p w14:paraId="013D1C8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3. Pay particular attention to the 80-MW C-band klystron: although it promises significant cost and reliability benefits, its lifetime involves certain risks. Deliberate communication with the </w:t>
      </w:r>
      <w:proofErr w:type="spellStart"/>
      <w:r w:rsidRPr="002B1BDF">
        <w:rPr>
          <w:rFonts w:ascii="Times New Roman" w:hAnsi="Times New Roman" w:cs="Times New Roman"/>
          <w:sz w:val="22"/>
        </w:rPr>
        <w:t>linac</w:t>
      </w:r>
      <w:proofErr w:type="spellEnd"/>
      <w:r w:rsidRPr="002B1BDF">
        <w:rPr>
          <w:rFonts w:ascii="Times New Roman" w:hAnsi="Times New Roman" w:cs="Times New Roman"/>
          <w:sz w:val="22"/>
        </w:rPr>
        <w:t xml:space="preserve"> group is recommended to reach an adequate selection.</w:t>
      </w:r>
    </w:p>
    <w:p w14:paraId="207BA49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p>
    <w:p w14:paraId="4265BD8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We are preparing a dedicated test bench for both the 80-MW C-band klystron and its associated RF structures, in close collaboration with our colleagues in the </w:t>
      </w:r>
      <w:proofErr w:type="spellStart"/>
      <w:r w:rsidRPr="002B1BDF">
        <w:rPr>
          <w:rFonts w:ascii="Times New Roman" w:hAnsi="Times New Roman" w:cs="Times New Roman"/>
          <w:sz w:val="22"/>
        </w:rPr>
        <w:t>Linac</w:t>
      </w:r>
      <w:proofErr w:type="spellEnd"/>
      <w:r w:rsidRPr="002B1BDF">
        <w:rPr>
          <w:rFonts w:ascii="Times New Roman" w:hAnsi="Times New Roman" w:cs="Times New Roman"/>
          <w:sz w:val="22"/>
        </w:rPr>
        <w:t xml:space="preserve"> group. This coordinated effort will support a well-informed and reliable selection for future application.</w:t>
      </w:r>
    </w:p>
    <w:p w14:paraId="43DC8CAB"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 xml:space="preserve">A.20 CEPC collective effects (Na Wang, </w:t>
      </w:r>
      <w:proofErr w:type="spellStart"/>
      <w:r w:rsidRPr="002B1BDF">
        <w:rPr>
          <w:rFonts w:ascii="Times New Roman" w:hAnsi="Times New Roman" w:cs="Times New Roman"/>
          <w:sz w:val="24"/>
          <w:szCs w:val="24"/>
        </w:rPr>
        <w:t>Yudong</w:t>
      </w:r>
      <w:proofErr w:type="spellEnd"/>
      <w:r w:rsidRPr="002B1BDF">
        <w:rPr>
          <w:rFonts w:ascii="Times New Roman" w:hAnsi="Times New Roman" w:cs="Times New Roman"/>
          <w:sz w:val="24"/>
          <w:szCs w:val="24"/>
        </w:rPr>
        <w:t xml:space="preserve"> Liu)</w:t>
      </w:r>
    </w:p>
    <w:p w14:paraId="3FEF15C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The committee congratulates the impedance and collective effects group and commends the progress made in determining the impedance budget and in reducing the total impedance, partly thanks to the decreased number of collimators. Additionally, there may still be room for further reducing the impedance budget, since only two collimators contribute most significantly to the overall impedance. Alternative solutions could be investigated, such as the non-linear collimator used at </w:t>
      </w:r>
      <w:proofErr w:type="spellStart"/>
      <w:r w:rsidRPr="002B1BDF">
        <w:rPr>
          <w:rFonts w:ascii="Times New Roman" w:hAnsi="Times New Roman" w:cs="Times New Roman"/>
          <w:sz w:val="22"/>
        </w:rPr>
        <w:t>SuperKEKB</w:t>
      </w:r>
      <w:proofErr w:type="spellEnd"/>
      <w:r w:rsidRPr="002B1BDF">
        <w:rPr>
          <w:rFonts w:ascii="Times New Roman" w:hAnsi="Times New Roman" w:cs="Times New Roman"/>
          <w:sz w:val="22"/>
        </w:rPr>
        <w:t>.</w:t>
      </w:r>
    </w:p>
    <w:p w14:paraId="5223A0E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However, these efforts are not sufficient to guarantee machine stability without the use of mitigation tools such as a strong feedback system and a high value of the chromaticity, particularly at the Z. This raises concerns at this stage of the project, since a complex machine </w:t>
      </w:r>
      <w:r w:rsidRPr="002B1BDF">
        <w:rPr>
          <w:rFonts w:ascii="Times New Roman" w:hAnsi="Times New Roman" w:cs="Times New Roman"/>
          <w:sz w:val="22"/>
        </w:rPr>
        <w:lastRenderedPageBreak/>
        <w:t>like CEPC is intrinsically unstable, and can only operate reliably if sufficiently strong mitigation measures are available. This issue is well known and shared with other large colliders, such as FCC-</w:t>
      </w:r>
      <w:proofErr w:type="spellStart"/>
      <w:r w:rsidRPr="002B1BDF">
        <w:rPr>
          <w:rFonts w:ascii="Times New Roman" w:hAnsi="Times New Roman" w:cs="Times New Roman"/>
          <w:sz w:val="22"/>
        </w:rPr>
        <w:t>ee</w:t>
      </w:r>
      <w:proofErr w:type="spellEnd"/>
      <w:r w:rsidRPr="002B1BDF">
        <w:rPr>
          <w:rFonts w:ascii="Times New Roman" w:hAnsi="Times New Roman" w:cs="Times New Roman"/>
          <w:sz w:val="22"/>
        </w:rPr>
        <w:t>.</w:t>
      </w:r>
    </w:p>
    <w:p w14:paraId="3BE0927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Moreover, some impedance contributions from additional devices are still missing from the model, which could increase the total impedance budget and further reduce the stability thresholds.</w:t>
      </w:r>
    </w:p>
    <w:p w14:paraId="315EA85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The committee agrees with the impedance and collective effects group on the necessity of continuously developing the impedance model with more realistic hardware designs (e.g., those for collimators), identifying possible impedance mitigations, and updating beam dynamics simulations, consistently accounting for beam–beam and collective effects. In addition, more detailed studies of electron-cloud effects are recommended.</w:t>
      </w:r>
    </w:p>
    <w:p w14:paraId="126386E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A.20.2 Recommendations</w:t>
      </w:r>
    </w:p>
    <w:p w14:paraId="0F3A5D4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 Update the impedance model with more realistic hardware designs;</w:t>
      </w:r>
    </w:p>
    <w:p w14:paraId="4D182F3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 Investigate possible impedance reduction methods (e.g., the use of non-linear collimators) and beam dynamics mitigation tools;</w:t>
      </w:r>
    </w:p>
    <w:p w14:paraId="33D888C8"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 Revise instability thresholds as the impedance model and machine working point evolve;</w:t>
      </w:r>
    </w:p>
    <w:p w14:paraId="150429C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4. Perform further studies on electron cloud effects;</w:t>
      </w:r>
    </w:p>
    <w:p w14:paraId="5BC3E8A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5. Evaluate in detail the impedance budget and instability thresholds for the Booster Accelerator.</w:t>
      </w:r>
    </w:p>
    <w:p w14:paraId="05C0FFFA" w14:textId="77777777" w:rsidR="00406C66" w:rsidRPr="002B1BDF" w:rsidRDefault="00406C66" w:rsidP="00B21F92">
      <w:pPr>
        <w:spacing w:line="360" w:lineRule="auto"/>
        <w:ind w:firstLineChars="176" w:firstLine="387"/>
        <w:rPr>
          <w:rFonts w:ascii="Times New Roman" w:hAnsi="Times New Roman" w:cs="Times New Roman"/>
          <w:sz w:val="22"/>
        </w:rPr>
      </w:pPr>
    </w:p>
    <w:p w14:paraId="5828BADD"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We appreciate the comments and suggestions from the review committee! </w:t>
      </w:r>
    </w:p>
    <w:p w14:paraId="2D958E19"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We will continue to update the impedance model in parallel with the evolution of the hardware designs. The collimation system design is being refined to address the significant impedance contribution from collimators in regions with large beta functions. We will also investigate potential impedance reduction through the use of non-linear collimators if necessary. Furthermore, beam instabilities will be continuously reassessed in response to updates in both the impedance model and the lattice design.</w:t>
      </w:r>
    </w:p>
    <w:p w14:paraId="5D791871"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In addition, we will focus on the simulation of coupled-bunch instability and single bunch blow-up due to the accumulation of electron cloud. We also will consider one of the new sources </w:t>
      </w:r>
      <w:r w:rsidRPr="002B1BDF">
        <w:rPr>
          <w:rFonts w:ascii="Times New Roman" w:hAnsi="Times New Roman" w:cs="Times New Roman"/>
          <w:sz w:val="22"/>
        </w:rPr>
        <w:lastRenderedPageBreak/>
        <w:t>of electrons, except the phone electrons and secondary electrons, which induced by the strong beam field in region of the mini-aperture collimators. Regarding the booster studies, it is difficult to give an accurate impedance of booster because the mechanical structures of various components have not been determined. We will push the mechanical design for the vacuum chamber, injection kickers, cavities, and so on. We will choose some components with high impedance to optimize, such as kickers, RF cavities and so on.</w:t>
      </w:r>
    </w:p>
    <w:p w14:paraId="4E82A9FE"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A.21 CEPC polarization studies (Zhe Duan)</w:t>
      </w:r>
    </w:p>
    <w:p w14:paraId="3F7C6821" w14:textId="77777777" w:rsidR="00406C66" w:rsidRPr="002B1BDF" w:rsidRDefault="00406C66" w:rsidP="006968AF">
      <w:pPr>
        <w:pStyle w:val="a5"/>
        <w:numPr>
          <w:ilvl w:val="0"/>
          <w:numId w:val="7"/>
        </w:numPr>
        <w:tabs>
          <w:tab w:val="clear" w:pos="720"/>
          <w:tab w:val="num" w:pos="426"/>
        </w:tabs>
        <w:spacing w:before="0" w:beforeAutospacing="0" w:after="0" w:afterAutospacing="0" w:line="360" w:lineRule="auto"/>
        <w:ind w:left="1" w:hanging="1"/>
        <w:rPr>
          <w:sz w:val="22"/>
          <w:szCs w:val="22"/>
        </w:rPr>
      </w:pPr>
      <w:r w:rsidRPr="002B1BDF">
        <w:rPr>
          <w:sz w:val="22"/>
          <w:szCs w:val="22"/>
        </w:rPr>
        <w:t xml:space="preserve">Populate a table of requirements for % polarization and polarization-measurement accuracy separately for the major physics channels of interest </w:t>
      </w:r>
    </w:p>
    <w:p w14:paraId="22B37FD3" w14:textId="77777777" w:rsidR="00406C66" w:rsidRPr="002B1BDF" w:rsidRDefault="00406C66" w:rsidP="006968AF">
      <w:pPr>
        <w:pStyle w:val="a5"/>
        <w:tabs>
          <w:tab w:val="num" w:pos="426"/>
        </w:tabs>
        <w:spacing w:before="0" w:beforeAutospacing="0" w:after="0" w:afterAutospacing="0" w:line="360" w:lineRule="auto"/>
        <w:ind w:leftChars="-4" w:left="-9" w:hanging="1"/>
        <w:rPr>
          <w:sz w:val="22"/>
          <w:szCs w:val="22"/>
        </w:rPr>
      </w:pPr>
      <w:r w:rsidRPr="002B1BDF">
        <w:rPr>
          <w:sz w:val="22"/>
          <w:szCs w:val="22"/>
        </w:rPr>
        <w:t xml:space="preserve">Response:    Sure. This is very important to better clarify the physics motivation and requirements on beam polarization and polarization measurement accuracy. We’ll work more closely with related colleagues. </w:t>
      </w:r>
    </w:p>
    <w:p w14:paraId="5B3B8037" w14:textId="77777777" w:rsidR="00406C66" w:rsidRPr="002B1BDF" w:rsidRDefault="00406C66" w:rsidP="006968AF">
      <w:pPr>
        <w:pStyle w:val="a5"/>
        <w:numPr>
          <w:ilvl w:val="0"/>
          <w:numId w:val="7"/>
        </w:numPr>
        <w:tabs>
          <w:tab w:val="clear" w:pos="720"/>
          <w:tab w:val="num" w:pos="426"/>
        </w:tabs>
        <w:spacing w:before="0" w:beforeAutospacing="0" w:after="0" w:afterAutospacing="0" w:line="360" w:lineRule="auto"/>
        <w:ind w:leftChars="-4" w:left="-9" w:hanging="1"/>
        <w:rPr>
          <w:sz w:val="22"/>
          <w:szCs w:val="22"/>
        </w:rPr>
      </w:pPr>
      <w:r w:rsidRPr="002B1BDF">
        <w:rPr>
          <w:sz w:val="22"/>
          <w:szCs w:val="22"/>
        </w:rPr>
        <w:t>Continue polarization studies for the Z and WW modes</w:t>
      </w:r>
    </w:p>
    <w:p w14:paraId="14B2B186" w14:textId="77777777" w:rsidR="00406C66" w:rsidRPr="002B1BDF" w:rsidRDefault="00406C66" w:rsidP="006968AF">
      <w:pPr>
        <w:pStyle w:val="a5"/>
        <w:tabs>
          <w:tab w:val="num" w:pos="426"/>
        </w:tabs>
        <w:spacing w:before="0" w:beforeAutospacing="0" w:after="0" w:afterAutospacing="0" w:line="360" w:lineRule="auto"/>
        <w:ind w:leftChars="-4" w:left="-9" w:hanging="1"/>
        <w:rPr>
          <w:sz w:val="22"/>
          <w:szCs w:val="22"/>
        </w:rPr>
      </w:pPr>
      <w:r w:rsidRPr="002B1BDF">
        <w:rPr>
          <w:sz w:val="22"/>
          <w:szCs w:val="22"/>
        </w:rPr>
        <w:t xml:space="preserve">      Response:  Sure, we’ll continue beam polarization studies of CEPC with an emphasis on Z and WW modes.</w:t>
      </w:r>
    </w:p>
    <w:p w14:paraId="2651189B" w14:textId="77777777" w:rsidR="00406C66" w:rsidRPr="002B1BDF" w:rsidRDefault="00406C66" w:rsidP="006968AF">
      <w:pPr>
        <w:pStyle w:val="a5"/>
        <w:numPr>
          <w:ilvl w:val="0"/>
          <w:numId w:val="7"/>
        </w:numPr>
        <w:tabs>
          <w:tab w:val="clear" w:pos="720"/>
          <w:tab w:val="num" w:pos="426"/>
        </w:tabs>
        <w:spacing w:before="0" w:beforeAutospacing="0" w:after="0" w:afterAutospacing="0" w:line="360" w:lineRule="auto"/>
        <w:ind w:leftChars="-4" w:left="-9" w:hanging="1"/>
        <w:rPr>
          <w:sz w:val="22"/>
          <w:szCs w:val="22"/>
        </w:rPr>
      </w:pPr>
      <w:r w:rsidRPr="002B1BDF">
        <w:rPr>
          <w:sz w:val="22"/>
          <w:szCs w:val="22"/>
        </w:rPr>
        <w:t>Continue collaborative R&amp;D on long-term operation of polarised electron sources with a view to minimising poisoning of the cathode</w:t>
      </w:r>
    </w:p>
    <w:p w14:paraId="1029AB42" w14:textId="77777777" w:rsidR="00406C66" w:rsidRPr="002B1BDF" w:rsidRDefault="00406C66" w:rsidP="006968AF">
      <w:pPr>
        <w:pStyle w:val="a5"/>
        <w:tabs>
          <w:tab w:val="num" w:pos="426"/>
        </w:tabs>
        <w:spacing w:before="0" w:beforeAutospacing="0" w:after="0" w:afterAutospacing="0" w:line="360" w:lineRule="auto"/>
        <w:ind w:leftChars="-4" w:left="-9" w:hanging="1"/>
        <w:rPr>
          <w:rFonts w:eastAsia="宋体"/>
          <w:sz w:val="22"/>
          <w:szCs w:val="22"/>
        </w:rPr>
      </w:pPr>
      <w:r w:rsidRPr="002B1BDF">
        <w:rPr>
          <w:sz w:val="22"/>
          <w:szCs w:val="22"/>
        </w:rPr>
        <w:t>Response</w:t>
      </w:r>
      <w:r w:rsidRPr="002B1BDF">
        <w:rPr>
          <w:rFonts w:eastAsia="宋体"/>
          <w:sz w:val="22"/>
          <w:szCs w:val="22"/>
        </w:rPr>
        <w:t>：</w:t>
      </w:r>
      <w:r w:rsidRPr="002B1BDF">
        <w:rPr>
          <w:rFonts w:eastAsia="宋体"/>
          <w:sz w:val="22"/>
          <w:szCs w:val="22"/>
        </w:rPr>
        <w:t xml:space="preserve"> Sure. This is a known issue of polarized electron source that limit the lifetime of the cathode. We’ll try to set up a test beam facility for polarized electron source and study this issue.</w:t>
      </w:r>
    </w:p>
    <w:p w14:paraId="299BB841" w14:textId="77777777" w:rsidR="00406C66" w:rsidRPr="002B1BDF" w:rsidRDefault="00406C66" w:rsidP="006968AF">
      <w:pPr>
        <w:pStyle w:val="a5"/>
        <w:numPr>
          <w:ilvl w:val="0"/>
          <w:numId w:val="7"/>
        </w:numPr>
        <w:tabs>
          <w:tab w:val="clear" w:pos="720"/>
          <w:tab w:val="num" w:pos="426"/>
        </w:tabs>
        <w:spacing w:before="0" w:beforeAutospacing="0" w:after="0" w:afterAutospacing="0" w:line="360" w:lineRule="auto"/>
        <w:ind w:leftChars="-4" w:left="-9" w:hanging="1"/>
        <w:rPr>
          <w:sz w:val="22"/>
          <w:szCs w:val="22"/>
        </w:rPr>
      </w:pPr>
      <w:r w:rsidRPr="002B1BDF">
        <w:rPr>
          <w:sz w:val="22"/>
          <w:szCs w:val="22"/>
        </w:rPr>
        <w:t>Continue the design of the resonator</w:t>
      </w:r>
    </w:p>
    <w:p w14:paraId="55F84EB5" w14:textId="77777777" w:rsidR="00406C66" w:rsidRPr="002B1BDF" w:rsidRDefault="00406C66" w:rsidP="006968AF">
      <w:pPr>
        <w:spacing w:line="360" w:lineRule="auto"/>
        <w:ind w:hanging="1"/>
        <w:rPr>
          <w:rFonts w:ascii="Times New Roman" w:hAnsi="Times New Roman" w:cs="Times New Roman"/>
          <w:sz w:val="22"/>
        </w:rPr>
      </w:pPr>
      <w:r w:rsidRPr="002B1BDF">
        <w:rPr>
          <w:rFonts w:ascii="Times New Roman" w:hAnsi="Times New Roman" w:cs="Times New Roman"/>
          <w:sz w:val="22"/>
        </w:rPr>
        <w:t xml:space="preserve">Response: Sure. We’ll continue working on the resonant depolarization simulations and preparation for beam experiments at BEPCII, once the Compton polarimeter can provide reliable beam polarization measurement. We tentatively assume we use the bunch-by-bunch feedback kicker as the </w:t>
      </w:r>
      <w:proofErr w:type="spellStart"/>
      <w:r w:rsidRPr="002B1BDF">
        <w:rPr>
          <w:rFonts w:ascii="Times New Roman" w:hAnsi="Times New Roman" w:cs="Times New Roman"/>
          <w:sz w:val="22"/>
        </w:rPr>
        <w:t>resonantor</w:t>
      </w:r>
      <w:proofErr w:type="spellEnd"/>
      <w:r w:rsidRPr="002B1BDF">
        <w:rPr>
          <w:rFonts w:ascii="Times New Roman" w:hAnsi="Times New Roman" w:cs="Times New Roman"/>
          <w:sz w:val="22"/>
        </w:rPr>
        <w:t xml:space="preserve"> to depolarize the beam. We’ll work out the detailed requirement and see if the feedback kicker is OK or note.</w:t>
      </w:r>
    </w:p>
    <w:p w14:paraId="6C96178B"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lastRenderedPageBreak/>
        <w:t>A.22 Injection/extraction system (</w:t>
      </w:r>
      <w:proofErr w:type="spellStart"/>
      <w:r w:rsidRPr="002B1BDF">
        <w:rPr>
          <w:rFonts w:ascii="Times New Roman" w:hAnsi="Times New Roman" w:cs="Times New Roman"/>
          <w:sz w:val="24"/>
          <w:szCs w:val="24"/>
        </w:rPr>
        <w:t>Jinhui</w:t>
      </w:r>
      <w:proofErr w:type="spellEnd"/>
      <w:r w:rsidRPr="002B1BDF">
        <w:rPr>
          <w:rFonts w:ascii="Times New Roman" w:hAnsi="Times New Roman" w:cs="Times New Roman"/>
          <w:sz w:val="24"/>
          <w:szCs w:val="24"/>
        </w:rPr>
        <w:t xml:space="preserve"> Chen)</w:t>
      </w:r>
    </w:p>
    <w:p w14:paraId="55120F1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A.22.1 Comments </w:t>
      </w:r>
    </w:p>
    <w:p w14:paraId="30DA4FF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The committee commends the progress in the design and development of the injection and extraction systems. The CEPC injection and extraction system integrates four circular accelerators linked by ten injection and extraction subsystems with fourteen transport lines. </w:t>
      </w:r>
      <w:proofErr w:type="spellStart"/>
      <w:r w:rsidRPr="002B1BDF">
        <w:rPr>
          <w:rFonts w:ascii="Times New Roman" w:hAnsi="Times New Roman" w:cs="Times New Roman"/>
          <w:sz w:val="22"/>
        </w:rPr>
        <w:t>Its</w:t>
      </w:r>
      <w:proofErr w:type="spellEnd"/>
      <w:r w:rsidRPr="002B1BDF">
        <w:rPr>
          <w:rFonts w:ascii="Times New Roman" w:hAnsi="Times New Roman" w:cs="Times New Roman"/>
          <w:sz w:val="22"/>
        </w:rPr>
        <w:t xml:space="preserve"> hardware includes various kickers — slotted-pipe, </w:t>
      </w:r>
      <w:proofErr w:type="spellStart"/>
      <w:r w:rsidRPr="002B1BDF">
        <w:rPr>
          <w:rFonts w:ascii="Times New Roman" w:hAnsi="Times New Roman" w:cs="Times New Roman"/>
          <w:sz w:val="22"/>
        </w:rPr>
        <w:t>stripline</w:t>
      </w:r>
      <w:proofErr w:type="spellEnd"/>
      <w:r w:rsidRPr="002B1BDF">
        <w:rPr>
          <w:rFonts w:ascii="Times New Roman" w:hAnsi="Times New Roman" w:cs="Times New Roman"/>
          <w:sz w:val="22"/>
        </w:rPr>
        <w:t xml:space="preserve">, delay-line, and lumped ferrite-core types — designed for precise beam deflection and fast pulse operation. Layout and survey designs focus on on-axis swap-out injection for Higgs mode, with detailed EDR updates for kickers and septa. </w:t>
      </w:r>
      <w:proofErr w:type="spellStart"/>
      <w:r w:rsidRPr="002B1BDF">
        <w:rPr>
          <w:rFonts w:ascii="Times New Roman" w:hAnsi="Times New Roman" w:cs="Times New Roman"/>
          <w:sz w:val="22"/>
        </w:rPr>
        <w:t>Lambertson</w:t>
      </w:r>
      <w:proofErr w:type="spellEnd"/>
      <w:r w:rsidRPr="002B1BDF">
        <w:rPr>
          <w:rFonts w:ascii="Times New Roman" w:hAnsi="Times New Roman" w:cs="Times New Roman"/>
          <w:sz w:val="22"/>
        </w:rPr>
        <w:t xml:space="preserve"> septa are engineered with in-air or half-in-vacuum configurations to minimize leakage fields while accommodating beam clearance. Mechanical and magnetic designs ensure field uniformity, appropriate deflection, and manageable installation and alignment tolerances. Overall, the EDR phase progresses towards reliable, flexible, and high-precision injection/extraction technologies for CEPC operations. To mitigate vacuum deterioration at the collider ring injection point, caused by the septum magnet excitation, in-situ baking of the septum magnets is deemed necessary. This area is highly congested, requiring thorough countermeasures against vacuum chamber deformation caused by the baking. Solid-state switches for pulsed power supplies would be preferable over thyratrons as the technology advances, since they enable reliable operation. The pulse shapes of the various injection and extraction devices should be recorded to ensure clarity in beam performance evaluations. The mechanical resonant frequencies should be examined to avoid synchronization with possible beam-repetition patterns. Although the spaces around the injection and extraction devices are especially tight and the aperture shapes differ, an adequate number of BPMs should be arranged around these devices to properly evaluate the beam optics functions.</w:t>
      </w:r>
    </w:p>
    <w:p w14:paraId="423A38F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4EA8B9E4"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We strongly agree with the opinions and recommendation of the IAC.</w:t>
      </w:r>
    </w:p>
    <w:p w14:paraId="39F04F52"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A.22.2 Recommendations</w:t>
      </w:r>
    </w:p>
    <w:p w14:paraId="531FE16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1. Consider countermeasures against vacuum chamber deformation caused by the in-situ baking around the septum magnets; </w:t>
      </w:r>
    </w:p>
    <w:p w14:paraId="09179D8A"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lastRenderedPageBreak/>
        <w:t>Response</w:t>
      </w:r>
      <w:r w:rsidRPr="002B1BDF">
        <w:rPr>
          <w:rFonts w:ascii="Times New Roman" w:eastAsia="宋体" w:hAnsi="Times New Roman" w:cs="Times New Roman"/>
          <w:sz w:val="22"/>
        </w:rPr>
        <w:t>：</w:t>
      </w:r>
    </w:p>
    <w:p w14:paraId="6A037E8A" w14:textId="77777777" w:rsidR="00406C66" w:rsidRPr="002B1BDF" w:rsidRDefault="00406C66" w:rsidP="00B21F92">
      <w:pPr>
        <w:pStyle w:val="a5"/>
        <w:shd w:val="clear" w:color="auto" w:fill="F9FAFB"/>
        <w:spacing w:before="0" w:beforeAutospacing="0" w:after="0" w:afterAutospacing="0" w:line="360" w:lineRule="auto"/>
        <w:ind w:firstLineChars="176" w:firstLine="387"/>
        <w:jc w:val="both"/>
        <w:rPr>
          <w:rFonts w:eastAsiaTheme="minorEastAsia"/>
          <w:kern w:val="2"/>
          <w:sz w:val="22"/>
          <w:szCs w:val="22"/>
        </w:rPr>
      </w:pPr>
      <w:r w:rsidRPr="002B1BDF">
        <w:rPr>
          <w:rFonts w:eastAsiaTheme="minorEastAsia"/>
          <w:kern w:val="2"/>
          <w:sz w:val="22"/>
          <w:szCs w:val="22"/>
        </w:rPr>
        <w:t xml:space="preserve">We strongly agree with the opinions and recommendation of the IAC. The contribution of the injection and extraction components, especially the in-vacuum kicker and </w:t>
      </w:r>
      <w:proofErr w:type="spellStart"/>
      <w:r w:rsidRPr="002B1BDF">
        <w:rPr>
          <w:rFonts w:eastAsiaTheme="minorEastAsia"/>
          <w:kern w:val="2"/>
          <w:sz w:val="22"/>
          <w:szCs w:val="22"/>
        </w:rPr>
        <w:t>Lambertson</w:t>
      </w:r>
      <w:proofErr w:type="spellEnd"/>
      <w:r w:rsidRPr="002B1BDF">
        <w:rPr>
          <w:rFonts w:eastAsiaTheme="minorEastAsia"/>
          <w:kern w:val="2"/>
          <w:sz w:val="22"/>
          <w:szCs w:val="22"/>
        </w:rPr>
        <w:t xml:space="preserve"> magnets, to vacuum degradation is significant, and in-situ baking is an essential measure to achieve ultra-high vacuum. The baking process inevitably causes varying degrees of deformation in the vacuum chambers. It is crucial to carefully evaluate the thermal expansion differences among different parts due to material and temperature variations in the system to determine if necessary flexible connection structures should be adopted to alleviate the stress released during thermal expansion and contraction. Bellows are a commonly used solution, and when applying them, it is important to consider not only the matching design of the interfaces but also the RF connections to reduce beam impedance.</w:t>
      </w:r>
    </w:p>
    <w:p w14:paraId="231A51F2" w14:textId="77777777" w:rsidR="00406C66" w:rsidRPr="002B1BDF" w:rsidRDefault="00406C66" w:rsidP="00B21F92">
      <w:pPr>
        <w:spacing w:line="360" w:lineRule="auto"/>
        <w:ind w:firstLineChars="176" w:firstLine="387"/>
        <w:rPr>
          <w:rFonts w:ascii="Times New Roman" w:hAnsi="Times New Roman" w:cs="Times New Roman"/>
          <w:sz w:val="22"/>
        </w:rPr>
      </w:pPr>
    </w:p>
    <w:p w14:paraId="43C6744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2. Prefer solid-state switches over thyratrons for pulsed power supplies to ensure reliable operation and sustainable maintenance; </w:t>
      </w:r>
    </w:p>
    <w:p w14:paraId="2F67869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31A2E436" w14:textId="77777777" w:rsidR="00406C66" w:rsidRPr="002B1BDF" w:rsidRDefault="00406C66" w:rsidP="00B21F92">
      <w:pPr>
        <w:pStyle w:val="a5"/>
        <w:shd w:val="clear" w:color="auto" w:fill="F9FAFB"/>
        <w:spacing w:before="0" w:beforeAutospacing="0" w:after="0" w:afterAutospacing="0" w:line="360" w:lineRule="auto"/>
        <w:ind w:firstLineChars="176" w:firstLine="387"/>
        <w:jc w:val="both"/>
        <w:rPr>
          <w:rFonts w:eastAsiaTheme="minorEastAsia"/>
          <w:kern w:val="2"/>
          <w:sz w:val="22"/>
          <w:szCs w:val="22"/>
        </w:rPr>
      </w:pPr>
      <w:r w:rsidRPr="002B1BDF">
        <w:rPr>
          <w:rFonts w:eastAsiaTheme="minorEastAsia"/>
          <w:kern w:val="2"/>
          <w:sz w:val="22"/>
          <w:szCs w:val="22"/>
        </w:rPr>
        <w:t>We greatly agree with the IAC's opinion. Indeed, with advancements in solid-state switching devices, they are being increasingly utilized in pulse power systems, especially in applications that require high repetition rate and high reliability. In fact, the accelerator physics design requires the kicker system of the CEPC to achieve a repetition rate of up to 1 kHz, which forces us to choose the solid-state switch technology route rather than the thyratron one. For fast pulse kicker magnet systems with inductive loads, the maturity of solid-state pulse power technology still presents certain challenges that require R&amp;D to undergo repeated design iterations and prototype verification processes.</w:t>
      </w:r>
    </w:p>
    <w:p w14:paraId="5119BC8A" w14:textId="77777777" w:rsidR="00406C66" w:rsidRPr="002B1BDF" w:rsidRDefault="00406C66" w:rsidP="00B21F92">
      <w:pPr>
        <w:spacing w:line="360" w:lineRule="auto"/>
        <w:ind w:firstLineChars="176" w:firstLine="387"/>
        <w:rPr>
          <w:rFonts w:ascii="Times New Roman" w:hAnsi="Times New Roman" w:cs="Times New Roman"/>
          <w:sz w:val="22"/>
        </w:rPr>
      </w:pPr>
    </w:p>
    <w:p w14:paraId="6362DA9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3. Record pulse shapes of injection and extraction devices to ensure clarity in performance evaluations; </w:t>
      </w:r>
    </w:p>
    <w:p w14:paraId="6267BDBF"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40E736C2" w14:textId="77777777" w:rsidR="00406C66" w:rsidRPr="002B1BDF" w:rsidRDefault="00406C66" w:rsidP="00B21F92">
      <w:pPr>
        <w:pStyle w:val="a5"/>
        <w:shd w:val="clear" w:color="auto" w:fill="F9FAFB"/>
        <w:spacing w:before="0" w:beforeAutospacing="0" w:after="0" w:afterAutospacing="0" w:line="360" w:lineRule="auto"/>
        <w:ind w:firstLineChars="176" w:firstLine="387"/>
        <w:jc w:val="both"/>
        <w:rPr>
          <w:rFonts w:eastAsiaTheme="minorEastAsia"/>
          <w:kern w:val="2"/>
          <w:sz w:val="22"/>
          <w:szCs w:val="22"/>
        </w:rPr>
      </w:pPr>
      <w:r w:rsidRPr="002B1BDF">
        <w:rPr>
          <w:rFonts w:eastAsiaTheme="minorEastAsia"/>
          <w:kern w:val="2"/>
          <w:sz w:val="22"/>
          <w:szCs w:val="22"/>
        </w:rPr>
        <w:t xml:space="preserve">We strongly agree with the IAC's suggestion. Online recording of the waveforms of the pulse power supply for the injection and extraction system is an indispensable measure for </w:t>
      </w:r>
      <w:r w:rsidRPr="002B1BDF">
        <w:rPr>
          <w:rFonts w:eastAsiaTheme="minorEastAsia"/>
          <w:kern w:val="2"/>
          <w:sz w:val="22"/>
          <w:szCs w:val="22"/>
        </w:rPr>
        <w:lastRenderedPageBreak/>
        <w:t>accelerator operation and beam commissioning. In the machines we operate, commercially available oscilloscopes are mostly used to capture and measure critical pulse waveforms. In the future, we may consider introducing AI technology to assist beam commissioning personnel in automatically determining whether the monitored waveforms are abnormal.</w:t>
      </w:r>
    </w:p>
    <w:p w14:paraId="012C7950" w14:textId="77777777" w:rsidR="00406C66" w:rsidRPr="002B1BDF" w:rsidRDefault="00406C66" w:rsidP="00B21F92">
      <w:pPr>
        <w:spacing w:line="360" w:lineRule="auto"/>
        <w:ind w:firstLineChars="176" w:firstLine="387"/>
        <w:rPr>
          <w:rFonts w:ascii="Times New Roman" w:hAnsi="Times New Roman" w:cs="Times New Roman"/>
          <w:sz w:val="22"/>
        </w:rPr>
      </w:pPr>
    </w:p>
    <w:p w14:paraId="2236947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4. Examine mechanical resonant frequencies to avoid synchronization with possible beam-repetition patterns; </w:t>
      </w:r>
    </w:p>
    <w:p w14:paraId="22EA0E4B"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083324A9" w14:textId="77777777" w:rsidR="00406C66" w:rsidRPr="002B1BDF" w:rsidRDefault="00406C66" w:rsidP="00B21F92">
      <w:pPr>
        <w:pStyle w:val="a5"/>
        <w:shd w:val="clear" w:color="auto" w:fill="F9FAFB"/>
        <w:spacing w:before="0" w:beforeAutospacing="0" w:after="0" w:afterAutospacing="0" w:line="360" w:lineRule="auto"/>
        <w:ind w:firstLineChars="176" w:firstLine="387"/>
        <w:jc w:val="both"/>
        <w:rPr>
          <w:rFonts w:eastAsiaTheme="minorEastAsia"/>
          <w:kern w:val="2"/>
          <w:sz w:val="22"/>
          <w:szCs w:val="22"/>
        </w:rPr>
      </w:pPr>
      <w:r w:rsidRPr="002B1BDF">
        <w:rPr>
          <w:rFonts w:eastAsiaTheme="minorEastAsia"/>
          <w:kern w:val="2"/>
          <w:sz w:val="22"/>
          <w:szCs w:val="22"/>
        </w:rPr>
        <w:t>We strongly agree with the IAC's suggestion. In the mechanical design of kicker magnets and their supports, we will carefully evaluate the mechanical resonance frequencies of the equipment and the adverse effects they may bring.</w:t>
      </w:r>
    </w:p>
    <w:p w14:paraId="2D121537" w14:textId="77777777" w:rsidR="00406C66" w:rsidRPr="002B1BDF" w:rsidRDefault="00406C66" w:rsidP="00B21F92">
      <w:pPr>
        <w:spacing w:line="360" w:lineRule="auto"/>
        <w:ind w:firstLineChars="176" w:firstLine="387"/>
        <w:rPr>
          <w:rFonts w:ascii="Times New Roman" w:hAnsi="Times New Roman" w:cs="Times New Roman"/>
          <w:sz w:val="22"/>
        </w:rPr>
      </w:pPr>
    </w:p>
    <w:p w14:paraId="29C4A873"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5. Arrange an adequate number of BPMs around injection and extraction devices, despite limited space and varying aperture shapes, to properly evaluate beam-optics functions.</w:t>
      </w:r>
    </w:p>
    <w:p w14:paraId="787F0E37"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Response</w:t>
      </w:r>
      <w:r w:rsidRPr="002B1BDF">
        <w:rPr>
          <w:rFonts w:ascii="Times New Roman" w:eastAsia="宋体" w:hAnsi="Times New Roman" w:cs="Times New Roman"/>
          <w:sz w:val="22"/>
        </w:rPr>
        <w:t>：</w:t>
      </w:r>
    </w:p>
    <w:p w14:paraId="3D5152A6" w14:textId="77777777" w:rsidR="00406C66" w:rsidRPr="002B1BDF" w:rsidRDefault="00406C66" w:rsidP="00B21F92">
      <w:pPr>
        <w:pStyle w:val="a5"/>
        <w:shd w:val="clear" w:color="auto" w:fill="F9FAFB"/>
        <w:spacing w:before="0" w:beforeAutospacing="0" w:after="0" w:afterAutospacing="0" w:line="360" w:lineRule="auto"/>
        <w:ind w:firstLineChars="176" w:firstLine="387"/>
        <w:jc w:val="both"/>
        <w:rPr>
          <w:rFonts w:eastAsiaTheme="minorEastAsia"/>
          <w:kern w:val="2"/>
          <w:sz w:val="22"/>
          <w:szCs w:val="22"/>
        </w:rPr>
      </w:pPr>
      <w:r w:rsidRPr="002B1BDF">
        <w:rPr>
          <w:rFonts w:eastAsiaTheme="minorEastAsia"/>
          <w:kern w:val="2"/>
          <w:sz w:val="22"/>
          <w:szCs w:val="22"/>
        </w:rPr>
        <w:t>We strongly agree with the IAC's suggestion. BPM is an essential tool during the injection commissioning processes. We will work with the accelerator physics group and the beam diagnostic system to design the overall layout of the injection and extraction area, determining where to install BPMs necessary.</w:t>
      </w:r>
    </w:p>
    <w:p w14:paraId="73DC7382" w14:textId="77777777" w:rsidR="00406C66" w:rsidRPr="002B1BDF" w:rsidRDefault="00406C66" w:rsidP="00B21F92">
      <w:pPr>
        <w:spacing w:line="360" w:lineRule="auto"/>
        <w:ind w:firstLineChars="176" w:firstLine="387"/>
        <w:rPr>
          <w:rFonts w:ascii="Times New Roman" w:hAnsi="Times New Roman" w:cs="Times New Roman"/>
          <w:sz w:val="22"/>
        </w:rPr>
      </w:pPr>
    </w:p>
    <w:p w14:paraId="2B0A2B63" w14:textId="77777777" w:rsidR="00406C66" w:rsidRPr="002B1BDF" w:rsidRDefault="00406C66"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2B1BDF">
        <w:rPr>
          <w:rFonts w:ascii="Times New Roman" w:hAnsi="Times New Roman" w:cs="Times New Roman"/>
          <w:sz w:val="24"/>
          <w:szCs w:val="24"/>
        </w:rPr>
        <w:t xml:space="preserve">A.23 CEPC </w:t>
      </w:r>
      <w:proofErr w:type="spellStart"/>
      <w:r w:rsidRPr="002B1BDF">
        <w:rPr>
          <w:rFonts w:ascii="Times New Roman" w:hAnsi="Times New Roman" w:cs="Times New Roman"/>
          <w:sz w:val="24"/>
          <w:szCs w:val="24"/>
        </w:rPr>
        <w:t>linac</w:t>
      </w:r>
      <w:proofErr w:type="spellEnd"/>
      <w:r w:rsidRPr="002B1BDF">
        <w:rPr>
          <w:rFonts w:ascii="Times New Roman" w:hAnsi="Times New Roman" w:cs="Times New Roman"/>
          <w:sz w:val="24"/>
          <w:szCs w:val="24"/>
        </w:rPr>
        <w:t xml:space="preserve"> injector (</w:t>
      </w:r>
      <w:proofErr w:type="spellStart"/>
      <w:r w:rsidRPr="002B1BDF">
        <w:rPr>
          <w:rFonts w:ascii="Times New Roman" w:hAnsi="Times New Roman" w:cs="Times New Roman"/>
          <w:sz w:val="24"/>
          <w:szCs w:val="24"/>
        </w:rPr>
        <w:t>Jingyu</w:t>
      </w:r>
      <w:proofErr w:type="spellEnd"/>
      <w:r w:rsidRPr="002B1BDF">
        <w:rPr>
          <w:rFonts w:ascii="Times New Roman" w:hAnsi="Times New Roman" w:cs="Times New Roman"/>
          <w:sz w:val="24"/>
          <w:szCs w:val="24"/>
        </w:rPr>
        <w:t xml:space="preserve"> Zhang)</w:t>
      </w:r>
    </w:p>
    <w:p w14:paraId="1240ADC6"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1</w:t>
      </w:r>
      <w:r w:rsidRPr="002B1BDF">
        <w:rPr>
          <w:rFonts w:ascii="Times New Roman" w:eastAsia="宋体" w:hAnsi="Times New Roman" w:cs="Times New Roman"/>
          <w:sz w:val="22"/>
        </w:rPr>
        <w:t>、</w:t>
      </w:r>
      <w:r w:rsidRPr="002B1BDF">
        <w:rPr>
          <w:rFonts w:ascii="Times New Roman" w:hAnsi="Times New Roman" w:cs="Times New Roman"/>
          <w:sz w:val="22"/>
        </w:rPr>
        <w:t xml:space="preserve">During three </w:t>
      </w:r>
      <w:proofErr w:type="spellStart"/>
      <w:r w:rsidRPr="002B1BDF">
        <w:rPr>
          <w:rFonts w:ascii="Times New Roman" w:hAnsi="Times New Roman" w:cs="Times New Roman"/>
          <w:sz w:val="22"/>
        </w:rPr>
        <w:t>laser+fiber</w:t>
      </w:r>
      <w:proofErr w:type="spellEnd"/>
      <w:r w:rsidRPr="002B1BDF">
        <w:rPr>
          <w:rFonts w:ascii="Times New Roman" w:hAnsi="Times New Roman" w:cs="Times New Roman"/>
          <w:sz w:val="22"/>
        </w:rPr>
        <w:t xml:space="preserve"> based Phase Reference Lines from master oscillator to DR(</w:t>
      </w:r>
      <w:proofErr w:type="spellStart"/>
      <w:r w:rsidRPr="002B1BDF">
        <w:rPr>
          <w:rFonts w:ascii="Times New Roman" w:hAnsi="Times New Roman" w:cs="Times New Roman"/>
          <w:sz w:val="22"/>
        </w:rPr>
        <w:t>transmiting</w:t>
      </w:r>
      <w:proofErr w:type="spellEnd"/>
      <w:r w:rsidRPr="002B1BDF">
        <w:rPr>
          <w:rFonts w:ascii="Times New Roman" w:hAnsi="Times New Roman" w:cs="Times New Roman"/>
          <w:sz w:val="22"/>
        </w:rPr>
        <w:t xml:space="preserve"> 650MHz) and FAS+SAS, TAS(</w:t>
      </w:r>
      <w:proofErr w:type="spellStart"/>
      <w:r w:rsidRPr="002B1BDF">
        <w:rPr>
          <w:rFonts w:ascii="Times New Roman" w:hAnsi="Times New Roman" w:cs="Times New Roman"/>
          <w:sz w:val="22"/>
        </w:rPr>
        <w:t>transmiting</w:t>
      </w:r>
      <w:proofErr w:type="spellEnd"/>
      <w:r w:rsidRPr="002B1BDF">
        <w:rPr>
          <w:rFonts w:ascii="Times New Roman" w:hAnsi="Times New Roman" w:cs="Times New Roman"/>
          <w:sz w:val="22"/>
        </w:rPr>
        <w:t xml:space="preserve"> 2860MHz), there is ‘phase-lock-loop’ principle in the </w:t>
      </w:r>
      <w:proofErr w:type="spellStart"/>
      <w:r w:rsidRPr="002B1BDF">
        <w:rPr>
          <w:rFonts w:ascii="Times New Roman" w:hAnsi="Times New Roman" w:cs="Times New Roman"/>
          <w:sz w:val="22"/>
        </w:rPr>
        <w:t>transmittion</w:t>
      </w:r>
      <w:proofErr w:type="spellEnd"/>
      <w:r w:rsidRPr="002B1BDF">
        <w:rPr>
          <w:rFonts w:ascii="Times New Roman" w:hAnsi="Times New Roman" w:cs="Times New Roman"/>
          <w:sz w:val="22"/>
        </w:rPr>
        <w:t xml:space="preserve">, because the </w:t>
      </w:r>
      <w:proofErr w:type="spellStart"/>
      <w:r w:rsidRPr="002B1BDF">
        <w:rPr>
          <w:rFonts w:ascii="Times New Roman" w:hAnsi="Times New Roman" w:cs="Times New Roman"/>
          <w:sz w:val="22"/>
        </w:rPr>
        <w:t>reveived</w:t>
      </w:r>
      <w:proofErr w:type="spellEnd"/>
      <w:r w:rsidRPr="002B1BDF">
        <w:rPr>
          <w:rFonts w:ascii="Times New Roman" w:hAnsi="Times New Roman" w:cs="Times New Roman"/>
          <w:sz w:val="22"/>
        </w:rPr>
        <w:t xml:space="preserve"> phase is stabilized by feedback with the transmitting phase, as shown below. The received signal is reversed back and detected by circular and OE, the phase drift during the long fiber transmission is calculated and compensated by phase shifter. This is a big ‘PLL’ so that the received phase can be controlled synchronized with the transmitted phase.</w:t>
      </w:r>
    </w:p>
    <w:p w14:paraId="565751E1" w14:textId="77777777" w:rsidR="00406C66" w:rsidRPr="002B1BDF" w:rsidRDefault="00406C66" w:rsidP="00B21F92">
      <w:pPr>
        <w:spacing w:line="360" w:lineRule="auto"/>
        <w:ind w:firstLineChars="176" w:firstLine="387"/>
        <w:jc w:val="center"/>
        <w:rPr>
          <w:rFonts w:ascii="Times New Roman" w:hAnsi="Times New Roman" w:cs="Times New Roman"/>
          <w:sz w:val="22"/>
        </w:rPr>
      </w:pPr>
      <w:r w:rsidRPr="002B1BDF">
        <w:rPr>
          <w:rFonts w:ascii="Times New Roman" w:hAnsi="Times New Roman" w:cs="Times New Roman"/>
          <w:noProof/>
          <w:sz w:val="22"/>
        </w:rPr>
        <w:lastRenderedPageBreak/>
        <w:drawing>
          <wp:inline distT="0" distB="0" distL="114300" distR="114300" wp14:anchorId="6CF26729" wp14:editId="2A6C7400">
            <wp:extent cx="3790315" cy="828675"/>
            <wp:effectExtent l="0" t="0" r="635" b="9525"/>
            <wp:docPr id="5" name="图片 5" descr="abab5d23-e03e-4f79-a7cf-73c32dbec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bab5d23-e03e-4f79-a7cf-73c32dbec672"/>
                    <pic:cNvPicPr>
                      <a:picLocks noChangeAspect="1"/>
                    </pic:cNvPicPr>
                  </pic:nvPicPr>
                  <pic:blipFill>
                    <a:blip r:embed="rId17"/>
                    <a:stretch>
                      <a:fillRect/>
                    </a:stretch>
                  </pic:blipFill>
                  <pic:spPr>
                    <a:xfrm>
                      <a:off x="0" y="0"/>
                      <a:ext cx="3790315" cy="828675"/>
                    </a:xfrm>
                    <a:prstGeom prst="rect">
                      <a:avLst/>
                    </a:prstGeom>
                  </pic:spPr>
                </pic:pic>
              </a:graphicData>
            </a:graphic>
          </wp:inline>
        </w:drawing>
      </w:r>
    </w:p>
    <w:p w14:paraId="6EED137B" w14:textId="12A53AC1"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 xml:space="preserve">However, in the coaxial based phase reference line, the drift is stabilized by </w:t>
      </w:r>
      <w:r w:rsidR="00F2778B" w:rsidRPr="002B1BDF">
        <w:rPr>
          <w:rFonts w:ascii="Times New Roman" w:hAnsi="Times New Roman" w:cs="Times New Roman"/>
          <w:sz w:val="22"/>
        </w:rPr>
        <w:t>temperature-controlled</w:t>
      </w:r>
      <w:r w:rsidRPr="002B1BDF">
        <w:rPr>
          <w:rFonts w:ascii="Times New Roman" w:hAnsi="Times New Roman" w:cs="Times New Roman"/>
          <w:sz w:val="22"/>
        </w:rPr>
        <w:t xml:space="preserve"> cooling water with ±0.1deg </w:t>
      </w:r>
      <w:proofErr w:type="spellStart"/>
      <w:r w:rsidRPr="002B1BDF">
        <w:rPr>
          <w:rFonts w:ascii="Times New Roman" w:hAnsi="Times New Roman" w:cs="Times New Roman"/>
          <w:sz w:val="22"/>
        </w:rPr>
        <w:t>stablity</w:t>
      </w:r>
      <w:proofErr w:type="spellEnd"/>
      <w:r w:rsidRPr="002B1BDF">
        <w:rPr>
          <w:rFonts w:ascii="Times New Roman" w:hAnsi="Times New Roman" w:cs="Times New Roman"/>
          <w:sz w:val="22"/>
        </w:rPr>
        <w:t xml:space="preserve">, which as you mentioned, maybe still exist some drifts during very long </w:t>
      </w:r>
      <w:proofErr w:type="spellStart"/>
      <w:r w:rsidRPr="002B1BDF">
        <w:rPr>
          <w:rFonts w:ascii="Times New Roman" w:hAnsi="Times New Roman" w:cs="Times New Roman"/>
          <w:sz w:val="22"/>
        </w:rPr>
        <w:t>transmittion</w:t>
      </w:r>
      <w:proofErr w:type="spellEnd"/>
      <w:r w:rsidRPr="002B1BDF">
        <w:rPr>
          <w:rFonts w:ascii="Times New Roman" w:hAnsi="Times New Roman" w:cs="Times New Roman"/>
          <w:sz w:val="22"/>
        </w:rPr>
        <w:t xml:space="preserve"> and shall be monitored the phase stability. According to your recommendation, a new </w:t>
      </w:r>
      <w:proofErr w:type="spellStart"/>
      <w:r w:rsidRPr="002B1BDF">
        <w:rPr>
          <w:rFonts w:ascii="Times New Roman" w:hAnsi="Times New Roman" w:cs="Times New Roman"/>
          <w:sz w:val="22"/>
        </w:rPr>
        <w:t>laser+fiber</w:t>
      </w:r>
      <w:proofErr w:type="spellEnd"/>
      <w:r w:rsidRPr="002B1BDF">
        <w:rPr>
          <w:rFonts w:ascii="Times New Roman" w:hAnsi="Times New Roman" w:cs="Times New Roman"/>
          <w:sz w:val="22"/>
        </w:rPr>
        <w:t xml:space="preserve"> link would be added so that the signal at the end of the coaxial cable be transmitted back to the start point. Phase detection and another phase shifter would be inserted before the coaxial cable to adjust the phase by the phase drift error. By this way, a ‘PLL’ is established and the real-time phase relationship can be monitored.</w:t>
      </w:r>
    </w:p>
    <w:p w14:paraId="1811415C"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noProof/>
          <w:sz w:val="22"/>
        </w:rPr>
        <w:drawing>
          <wp:inline distT="0" distB="0" distL="114300" distR="114300" wp14:anchorId="1DAAF141" wp14:editId="41F60881">
            <wp:extent cx="4966335" cy="2543175"/>
            <wp:effectExtent l="0" t="0" r="5715" b="9525"/>
            <wp:docPr id="6" name="图片 6" descr="ca37e4fb-0a48-471e-b94f-b677a5742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37e4fb-0a48-471e-b94f-b677a57422dd"/>
                    <pic:cNvPicPr>
                      <a:picLocks noChangeAspect="1"/>
                    </pic:cNvPicPr>
                  </pic:nvPicPr>
                  <pic:blipFill>
                    <a:blip r:embed="rId18"/>
                    <a:stretch>
                      <a:fillRect/>
                    </a:stretch>
                  </pic:blipFill>
                  <pic:spPr>
                    <a:xfrm>
                      <a:off x="0" y="0"/>
                      <a:ext cx="4966335" cy="2543175"/>
                    </a:xfrm>
                    <a:prstGeom prst="rect">
                      <a:avLst/>
                    </a:prstGeom>
                  </pic:spPr>
                </pic:pic>
              </a:graphicData>
            </a:graphic>
          </wp:inline>
        </w:drawing>
      </w:r>
      <w:r w:rsidRPr="002B1BDF">
        <w:rPr>
          <w:rFonts w:ascii="Times New Roman" w:hAnsi="Times New Roman" w:cs="Times New Roman"/>
          <w:sz w:val="22"/>
        </w:rPr>
        <w:t xml:space="preserve">  </w:t>
      </w:r>
    </w:p>
    <w:p w14:paraId="69051AA5"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2</w:t>
      </w:r>
      <w:r w:rsidRPr="002B1BDF">
        <w:rPr>
          <w:rFonts w:ascii="Times New Roman" w:eastAsia="宋体" w:hAnsi="Times New Roman" w:cs="Times New Roman"/>
          <w:sz w:val="22"/>
        </w:rPr>
        <w:t>、</w:t>
      </w:r>
      <w:r w:rsidRPr="002B1BDF">
        <w:rPr>
          <w:rFonts w:ascii="Times New Roman" w:hAnsi="Times New Roman" w:cs="Times New Roman"/>
          <w:sz w:val="22"/>
        </w:rPr>
        <w:t xml:space="preserve">We will formulate the beam commissioning plan based on the beam tuning experience from HEPS and the BEPCII </w:t>
      </w:r>
      <w:proofErr w:type="spellStart"/>
      <w:r w:rsidRPr="002B1BDF">
        <w:rPr>
          <w:rFonts w:ascii="Times New Roman" w:hAnsi="Times New Roman" w:cs="Times New Roman"/>
          <w:sz w:val="22"/>
        </w:rPr>
        <w:t>linac</w:t>
      </w:r>
      <w:proofErr w:type="spellEnd"/>
      <w:r w:rsidRPr="002B1BDF">
        <w:rPr>
          <w:rFonts w:ascii="Times New Roman" w:hAnsi="Times New Roman" w:cs="Times New Roman"/>
          <w:sz w:val="22"/>
        </w:rPr>
        <w:t xml:space="preserve">, while also drawing on the experience of </w:t>
      </w:r>
      <w:proofErr w:type="spellStart"/>
      <w:r w:rsidRPr="002B1BDF">
        <w:rPr>
          <w:rFonts w:ascii="Times New Roman" w:hAnsi="Times New Roman" w:cs="Times New Roman"/>
          <w:sz w:val="22"/>
        </w:rPr>
        <w:t>SuperKEKb's</w:t>
      </w:r>
      <w:proofErr w:type="spellEnd"/>
      <w:r w:rsidRPr="002B1BDF">
        <w:rPr>
          <w:rFonts w:ascii="Times New Roman" w:hAnsi="Times New Roman" w:cs="Times New Roman"/>
          <w:sz w:val="22"/>
        </w:rPr>
        <w:t xml:space="preserve"> beam commissioning. The preliminary approach is as follows: Step 1: Achieve rapid beam transport and conduct verification and commissioning of the hardware system. Step 2: Perform parameter optimization section by section for commissioning. Step 3: Carry out beam commissioning with double-bunch mode. A significant uncertainty lies in the commissioning and validation of Step 3, particularly in the measurement and optimization of double-bunch parameters.</w:t>
      </w:r>
    </w:p>
    <w:p w14:paraId="03DC1CF0" w14:textId="77777777" w:rsidR="00406C66" w:rsidRPr="002B1BDF"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3</w:t>
      </w:r>
      <w:r w:rsidRPr="002B1BDF">
        <w:rPr>
          <w:rFonts w:ascii="Times New Roman" w:eastAsia="宋体" w:hAnsi="Times New Roman" w:cs="Times New Roman"/>
          <w:sz w:val="22"/>
        </w:rPr>
        <w:t>、</w:t>
      </w:r>
      <w:r w:rsidRPr="002B1BDF">
        <w:rPr>
          <w:rFonts w:ascii="Times New Roman" w:hAnsi="Times New Roman" w:cs="Times New Roman"/>
          <w:sz w:val="22"/>
        </w:rPr>
        <w:t>The parameter requirements are clear and consistent, and the physical design team and the hardware system design team have maintained good communication.</w:t>
      </w:r>
    </w:p>
    <w:p w14:paraId="2E4ED35E" w14:textId="77777777" w:rsidR="00406C66" w:rsidRPr="00F2778B" w:rsidRDefault="00406C66" w:rsidP="00B21F92">
      <w:pPr>
        <w:spacing w:line="360" w:lineRule="auto"/>
        <w:ind w:firstLineChars="176" w:firstLine="387"/>
        <w:rPr>
          <w:rFonts w:ascii="Times New Roman" w:hAnsi="Times New Roman" w:cs="Times New Roman"/>
          <w:sz w:val="22"/>
        </w:rPr>
      </w:pPr>
      <w:r w:rsidRPr="002B1BDF">
        <w:rPr>
          <w:rFonts w:ascii="Times New Roman" w:hAnsi="Times New Roman" w:cs="Times New Roman"/>
          <w:sz w:val="22"/>
        </w:rPr>
        <w:t>4</w:t>
      </w:r>
      <w:r w:rsidRPr="002B1BDF">
        <w:rPr>
          <w:rFonts w:ascii="Times New Roman" w:eastAsia="宋体" w:hAnsi="Times New Roman" w:cs="Times New Roman"/>
          <w:sz w:val="22"/>
        </w:rPr>
        <w:t>、</w:t>
      </w:r>
      <w:r w:rsidRPr="002B1BDF">
        <w:rPr>
          <w:rFonts w:ascii="Times New Roman" w:hAnsi="Times New Roman" w:cs="Times New Roman"/>
          <w:sz w:val="22"/>
        </w:rPr>
        <w:t xml:space="preserve">This is indeed a very important issue. We will discuss the relevant details and develop </w:t>
      </w:r>
      <w:r w:rsidRPr="002B1BDF">
        <w:rPr>
          <w:rFonts w:ascii="Times New Roman" w:hAnsi="Times New Roman" w:cs="Times New Roman"/>
          <w:sz w:val="22"/>
        </w:rPr>
        <w:lastRenderedPageBreak/>
        <w:t>a res</w:t>
      </w:r>
      <w:r w:rsidRPr="00F2778B">
        <w:rPr>
          <w:rFonts w:ascii="Times New Roman" w:hAnsi="Times New Roman" w:cs="Times New Roman"/>
          <w:sz w:val="22"/>
        </w:rPr>
        <w:t>ponse scheme. Based on experience with existing facilities, there may not be significant differences, but it remains a topic that requires close attention.</w:t>
      </w:r>
    </w:p>
    <w:p w14:paraId="210F8F1F" w14:textId="77777777" w:rsidR="00406C66" w:rsidRPr="00F2778B" w:rsidRDefault="00406C66" w:rsidP="00B21F92">
      <w:pPr>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5</w:t>
      </w:r>
      <w:r w:rsidRPr="00F2778B">
        <w:rPr>
          <w:rFonts w:ascii="Times New Roman" w:eastAsia="宋体" w:hAnsi="Times New Roman" w:cs="Times New Roman"/>
          <w:sz w:val="22"/>
        </w:rPr>
        <w:t>、</w:t>
      </w:r>
      <w:r w:rsidRPr="00F2778B">
        <w:rPr>
          <w:rFonts w:ascii="Times New Roman" w:hAnsi="Times New Roman" w:cs="Times New Roman"/>
          <w:sz w:val="22"/>
        </w:rPr>
        <w:t>Thank you for your suggestions. We will first proceed based on the baseline design 50MW power source. For the 80MW system, we will proceed in phases following comprehensive validation. We will conduct thorough testing to ensure the power source and microwave components are fully mature.</w:t>
      </w:r>
    </w:p>
    <w:p w14:paraId="67CBAE24" w14:textId="77777777" w:rsidR="00F2778B" w:rsidRPr="00F2778B" w:rsidRDefault="00F2778B"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F2778B">
        <w:rPr>
          <w:rFonts w:ascii="Times New Roman" w:hAnsi="Times New Roman" w:cs="Times New Roman"/>
          <w:sz w:val="24"/>
          <w:szCs w:val="24"/>
        </w:rPr>
        <w:t>A.24 CEPC plasma injector (Dazhang Li)</w:t>
      </w:r>
    </w:p>
    <w:p w14:paraId="0BE4857B"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A.24.1 Comments The committee noted that the design for the 30GeV plasma injector has been essentially frozen over the past year in favor of developing the new plasma test facility, so there are no particular comments or recommendations in this area. The committee noted that ideas for a more ambitious plasma injector to reach full collider energy are being pursued. International collaboration on similar projects was discussed, in particular with the DESY team working on the proposed plasma injector for PETRA-IV. The committee was impressed by the progress in refurbishing the hall in which the test facility is being constructed and the progress in installing the beam lines. A tour of the facility took place and once more the committee was impressed. The committee noted the small delay in installation but appreciated the great progress that has been made. It would like to emphasize that aspects of the new facility will be unique in the world, in particular the positron acceleration capability. The proposed experimental programme looks exciting and ambitious. The committee looks forward to seeing first results of the commissioning and possible experiments at its next meeting.</w:t>
      </w:r>
    </w:p>
    <w:p w14:paraId="58E17076" w14:textId="77777777" w:rsidR="00F2778B" w:rsidRPr="00F2778B" w:rsidRDefault="00F2778B" w:rsidP="00B21F92">
      <w:pPr>
        <w:adjustRightInd w:val="0"/>
        <w:snapToGrid w:val="0"/>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Reply:</w:t>
      </w:r>
    </w:p>
    <w:p w14:paraId="5BA44239"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We sincerely thank the IARC for their recognition and encouragement to our work. We’ll continue our efforts on CEPC plasma injector.</w:t>
      </w:r>
    </w:p>
    <w:p w14:paraId="149C3C1B"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A.24.2 Recommendations</w:t>
      </w:r>
    </w:p>
    <w:p w14:paraId="48BA88E3"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1. Continue injector design both for 30GeV and up to collider energies;</w:t>
      </w:r>
    </w:p>
    <w:p w14:paraId="37224555" w14:textId="77777777" w:rsidR="00F2778B" w:rsidRPr="00F2778B" w:rsidRDefault="00F2778B" w:rsidP="00B21F92">
      <w:pPr>
        <w:adjustRightInd w:val="0"/>
        <w:snapToGrid w:val="0"/>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Reply:</w:t>
      </w:r>
    </w:p>
    <w:p w14:paraId="38CA91B1"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We’ll continue our work and plan to report our preliminary design of CEPC plasma injector for collider energy around June 2026.</w:t>
      </w:r>
    </w:p>
    <w:p w14:paraId="202F787D"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2. Complete installation and commission plasma test facility and begin experimental programme;</w:t>
      </w:r>
    </w:p>
    <w:p w14:paraId="582E2694" w14:textId="77777777" w:rsidR="00F2778B" w:rsidRPr="00F2778B" w:rsidRDefault="00F2778B" w:rsidP="00B21F92">
      <w:pPr>
        <w:adjustRightInd w:val="0"/>
        <w:snapToGrid w:val="0"/>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Reply:</w:t>
      </w:r>
    </w:p>
    <w:p w14:paraId="7D8AED6E"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lastRenderedPageBreak/>
        <w:t>The PWFA TF installation will be finished this year, and we plan to finish laser /beam commissioning and start PWFA experiments before July 2026.</w:t>
      </w:r>
    </w:p>
    <w:p w14:paraId="55C383DB"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3. Explore further international collaboration</w:t>
      </w:r>
    </w:p>
    <w:p w14:paraId="48A63BCE" w14:textId="77777777" w:rsidR="00F2778B" w:rsidRPr="00F2778B" w:rsidRDefault="00F2778B" w:rsidP="00B21F92">
      <w:pPr>
        <w:adjustRightInd w:val="0"/>
        <w:snapToGrid w:val="0"/>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Reply:</w:t>
      </w:r>
    </w:p>
    <w:p w14:paraId="2C51201C" w14:textId="77777777" w:rsidR="00F2778B" w:rsidRPr="00F2778B" w:rsidRDefault="00F2778B" w:rsidP="00B21F92">
      <w:pPr>
        <w:adjustRightInd w:val="0"/>
        <w:snapToGrid w:val="0"/>
        <w:spacing w:afterLines="50" w:after="156" w:line="360" w:lineRule="auto"/>
        <w:ind w:firstLineChars="176" w:firstLine="387"/>
        <w:rPr>
          <w:rFonts w:ascii="Times New Roman" w:hAnsi="Times New Roman" w:cs="Times New Roman"/>
          <w:sz w:val="22"/>
        </w:rPr>
      </w:pPr>
      <w:r w:rsidRPr="00F2778B">
        <w:rPr>
          <w:rFonts w:ascii="Times New Roman" w:hAnsi="Times New Roman" w:cs="Times New Roman"/>
          <w:sz w:val="22"/>
        </w:rPr>
        <w:t>Thanks a lot for the IARC’s advice. We’ll try our best to collaborate with international colleagues, especially with DESY and PIP4 colleagues.</w:t>
      </w:r>
    </w:p>
    <w:p w14:paraId="41CEC273" w14:textId="64B38B3C" w:rsidR="00631F5A" w:rsidRDefault="00631F5A"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631F5A">
        <w:rPr>
          <w:rFonts w:ascii="Times New Roman" w:hAnsi="Times New Roman" w:cs="Times New Roman"/>
          <w:sz w:val="24"/>
          <w:szCs w:val="24"/>
        </w:rPr>
        <w:t>A.25 Civil engineering design (</w:t>
      </w:r>
      <w:proofErr w:type="spellStart"/>
      <w:r w:rsidRPr="00631F5A">
        <w:rPr>
          <w:rFonts w:ascii="Times New Roman" w:hAnsi="Times New Roman" w:cs="Times New Roman"/>
          <w:sz w:val="24"/>
          <w:szCs w:val="24"/>
        </w:rPr>
        <w:t>Jianfeng</w:t>
      </w:r>
      <w:proofErr w:type="spellEnd"/>
      <w:r w:rsidRPr="00631F5A">
        <w:rPr>
          <w:rFonts w:ascii="Times New Roman" w:hAnsi="Times New Roman" w:cs="Times New Roman"/>
          <w:sz w:val="24"/>
          <w:szCs w:val="24"/>
        </w:rPr>
        <w:t xml:space="preserve"> Liu)</w:t>
      </w:r>
    </w:p>
    <w:p w14:paraId="78CCC5D2" w14:textId="4DD2D251" w:rsidR="00631F5A" w:rsidRPr="00631F5A" w:rsidRDefault="007E0A6C" w:rsidP="00631F5A">
      <w:pPr>
        <w:spacing w:line="360" w:lineRule="auto"/>
        <w:ind w:firstLineChars="193" w:firstLine="425"/>
        <w:rPr>
          <w:rFonts w:ascii="Times New Roman" w:hAnsi="Times New Roman" w:cs="Times New Roman"/>
          <w:sz w:val="22"/>
        </w:rPr>
      </w:pPr>
      <w:r>
        <w:rPr>
          <w:rFonts w:ascii="Times New Roman" w:hAnsi="Times New Roman" w:cs="Times New Roman"/>
          <w:sz w:val="22"/>
        </w:rPr>
        <w:t xml:space="preserve">1. </w:t>
      </w:r>
      <w:r w:rsidR="00631F5A" w:rsidRPr="00631F5A">
        <w:rPr>
          <w:rFonts w:ascii="Times New Roman" w:hAnsi="Times New Roman" w:cs="Times New Roman"/>
          <w:sz w:val="22"/>
        </w:rPr>
        <w:t xml:space="preserve">The committee encourages the CEPC team to move forward with the </w:t>
      </w:r>
      <w:proofErr w:type="gramStart"/>
      <w:r w:rsidR="00631F5A" w:rsidRPr="00631F5A">
        <w:rPr>
          <w:rFonts w:ascii="Times New Roman" w:hAnsi="Times New Roman" w:cs="Times New Roman"/>
          <w:sz w:val="22"/>
        </w:rPr>
        <w:t>site specific</w:t>
      </w:r>
      <w:proofErr w:type="gramEnd"/>
      <w:r w:rsidR="00631F5A" w:rsidRPr="00631F5A">
        <w:rPr>
          <w:rFonts w:ascii="Times New Roman" w:hAnsi="Times New Roman" w:cs="Times New Roman"/>
          <w:sz w:val="22"/>
        </w:rPr>
        <w:t xml:space="preserve"> civil engineering, and particular studies to reduce the risks related to the new deeper tunnel layout;</w:t>
      </w:r>
    </w:p>
    <w:p w14:paraId="62CE0D3C" w14:textId="0D977FDD" w:rsidR="00631F5A" w:rsidRDefault="00631F5A" w:rsidP="00631F5A">
      <w:pPr>
        <w:spacing w:line="360" w:lineRule="auto"/>
        <w:ind w:firstLineChars="193" w:firstLine="425"/>
        <w:rPr>
          <w:rFonts w:ascii="Times New Roman" w:hAnsi="Times New Roman" w:cs="Times New Roman"/>
          <w:sz w:val="22"/>
        </w:rPr>
      </w:pPr>
      <w:r w:rsidRPr="00631F5A">
        <w:rPr>
          <w:rFonts w:ascii="Times New Roman" w:hAnsi="Times New Roman" w:cs="Times New Roman"/>
          <w:sz w:val="22"/>
        </w:rPr>
        <w:t xml:space="preserve">Reply: At present, the geological exploration work for the specific site has been completed, and adverse factors have been avoided as much as </w:t>
      </w:r>
      <w:proofErr w:type="spellStart"/>
      <w:proofErr w:type="gramStart"/>
      <w:r w:rsidRPr="00631F5A">
        <w:rPr>
          <w:rFonts w:ascii="Times New Roman" w:hAnsi="Times New Roman" w:cs="Times New Roman"/>
          <w:sz w:val="22"/>
        </w:rPr>
        <w:t>possible.The</w:t>
      </w:r>
      <w:proofErr w:type="spellEnd"/>
      <w:proofErr w:type="gramEnd"/>
      <w:r w:rsidRPr="00631F5A">
        <w:rPr>
          <w:rFonts w:ascii="Times New Roman" w:hAnsi="Times New Roman" w:cs="Times New Roman"/>
          <w:sz w:val="22"/>
        </w:rPr>
        <w:t xml:space="preserve"> location of the specific site and the depth of the tunnel meet the construction conditions of the CEPC underground cavern.</w:t>
      </w:r>
    </w:p>
    <w:p w14:paraId="6B593D08" w14:textId="77777777" w:rsidR="007E0A6C" w:rsidRDefault="007E0A6C" w:rsidP="007E0A6C">
      <w:pPr>
        <w:spacing w:line="360" w:lineRule="auto"/>
        <w:ind w:firstLineChars="193" w:firstLine="425"/>
        <w:rPr>
          <w:rFonts w:ascii="宋体" w:eastAsia="宋体" w:hAnsi="宋体" w:cs="宋体"/>
          <w:sz w:val="22"/>
        </w:rPr>
      </w:pPr>
      <w:r>
        <w:rPr>
          <w:rFonts w:ascii="Times New Roman" w:hAnsi="Times New Roman" w:cs="Times New Roman"/>
          <w:sz w:val="22"/>
        </w:rPr>
        <w:t xml:space="preserve">2. </w:t>
      </w:r>
      <w:r w:rsidRPr="007E0A6C">
        <w:rPr>
          <w:rFonts w:ascii="Times New Roman" w:hAnsi="Times New Roman" w:cs="Times New Roman"/>
          <w:sz w:val="22"/>
        </w:rPr>
        <w:t>With the EDR site location determined, geological studies completed, the according the recommendations</w:t>
      </w:r>
      <w:r>
        <w:rPr>
          <w:rFonts w:ascii="宋体" w:eastAsia="宋体" w:hAnsi="宋体" w:cs="宋体" w:hint="eastAsia"/>
          <w:sz w:val="22"/>
        </w:rPr>
        <w:t>。</w:t>
      </w:r>
    </w:p>
    <w:p w14:paraId="0810FF1B" w14:textId="221AE3CA" w:rsidR="007E0A6C" w:rsidRPr="00631F5A" w:rsidRDefault="007E0A6C" w:rsidP="007E0A6C">
      <w:pPr>
        <w:spacing w:line="360" w:lineRule="auto"/>
        <w:ind w:firstLineChars="193" w:firstLine="425"/>
        <w:rPr>
          <w:rFonts w:ascii="Times New Roman" w:hAnsi="Times New Roman" w:cs="Times New Roman"/>
          <w:sz w:val="22"/>
        </w:rPr>
      </w:pPr>
      <w:r w:rsidRPr="007E0A6C">
        <w:rPr>
          <w:rFonts w:ascii="Times New Roman" w:hAnsi="Times New Roman" w:cs="Times New Roman"/>
          <w:sz w:val="22"/>
        </w:rPr>
        <w:t>R</w:t>
      </w:r>
      <w:r w:rsidRPr="007E0A6C">
        <w:rPr>
          <w:rFonts w:ascii="Times New Roman" w:hAnsi="Times New Roman" w:cs="Times New Roman" w:hint="eastAsia"/>
          <w:sz w:val="22"/>
        </w:rPr>
        <w:t>eply</w:t>
      </w:r>
      <w:r w:rsidRPr="007E0A6C">
        <w:rPr>
          <w:rFonts w:ascii="宋体" w:eastAsia="宋体" w:hAnsi="宋体" w:cs="宋体" w:hint="eastAsia"/>
          <w:sz w:val="22"/>
        </w:rPr>
        <w:t>：</w:t>
      </w:r>
      <w:r w:rsidRPr="007E0A6C">
        <w:rPr>
          <w:rFonts w:ascii="Times New Roman" w:hAnsi="Times New Roman" w:cs="Times New Roman"/>
          <w:sz w:val="22"/>
        </w:rPr>
        <w:t xml:space="preserve">the relevant works have been already conducted, such as EL, CV, and transport roads planning, </w:t>
      </w:r>
      <w:proofErr w:type="spellStart"/>
      <w:r w:rsidRPr="007E0A6C">
        <w:rPr>
          <w:rFonts w:ascii="Times New Roman" w:hAnsi="Times New Roman" w:cs="Times New Roman"/>
          <w:sz w:val="22"/>
        </w:rPr>
        <w:t>safty</w:t>
      </w:r>
      <w:proofErr w:type="spellEnd"/>
      <w:r w:rsidRPr="007E0A6C">
        <w:rPr>
          <w:rFonts w:ascii="Times New Roman" w:hAnsi="Times New Roman" w:cs="Times New Roman"/>
          <w:sz w:val="22"/>
        </w:rPr>
        <w:t xml:space="preserve">, etc. More detailed global survey for civil engineering in relation with CEPC component survey </w:t>
      </w:r>
      <w:proofErr w:type="gramStart"/>
      <w:r w:rsidRPr="007E0A6C">
        <w:rPr>
          <w:rFonts w:ascii="Times New Roman" w:hAnsi="Times New Roman" w:cs="Times New Roman"/>
          <w:sz w:val="22"/>
        </w:rPr>
        <w:t>and  installation</w:t>
      </w:r>
      <w:proofErr w:type="gramEnd"/>
      <w:r w:rsidRPr="007E0A6C">
        <w:rPr>
          <w:rFonts w:ascii="Times New Roman" w:hAnsi="Times New Roman" w:cs="Times New Roman"/>
          <w:sz w:val="22"/>
        </w:rPr>
        <w:t xml:space="preserve"> detailed plan are under going</w:t>
      </w:r>
    </w:p>
    <w:p w14:paraId="15DEB20F" w14:textId="5517E159" w:rsidR="00631F5A" w:rsidRPr="00631F5A" w:rsidRDefault="007E0A6C" w:rsidP="00631F5A">
      <w:pPr>
        <w:spacing w:line="360" w:lineRule="auto"/>
        <w:ind w:firstLineChars="193" w:firstLine="425"/>
        <w:rPr>
          <w:rFonts w:ascii="Times New Roman" w:hAnsi="Times New Roman" w:cs="Times New Roman"/>
          <w:sz w:val="22"/>
        </w:rPr>
      </w:pPr>
      <w:r>
        <w:rPr>
          <w:rFonts w:ascii="Times New Roman" w:hAnsi="Times New Roman" w:cs="Times New Roman"/>
          <w:sz w:val="22"/>
        </w:rPr>
        <w:t xml:space="preserve">3. </w:t>
      </w:r>
      <w:r w:rsidR="00631F5A" w:rsidRPr="00631F5A">
        <w:rPr>
          <w:rFonts w:ascii="Times New Roman" w:hAnsi="Times New Roman" w:cs="Times New Roman"/>
          <w:sz w:val="22"/>
        </w:rPr>
        <w:t>To maintain the ambitious CEPC schedule, fully design and carefully evaluate all systems before large-scale civil engineering work begins at full scale.</w:t>
      </w:r>
    </w:p>
    <w:p w14:paraId="56F174C2" w14:textId="1B619536" w:rsidR="00631F5A" w:rsidRPr="00631F5A" w:rsidRDefault="00631F5A" w:rsidP="00631F5A">
      <w:pPr>
        <w:spacing w:line="360" w:lineRule="auto"/>
        <w:ind w:firstLineChars="193" w:firstLine="425"/>
        <w:rPr>
          <w:rFonts w:ascii="Times New Roman" w:hAnsi="Times New Roman" w:cs="Times New Roman"/>
          <w:sz w:val="22"/>
        </w:rPr>
      </w:pPr>
      <w:r w:rsidRPr="00631F5A">
        <w:rPr>
          <w:rFonts w:ascii="Times New Roman" w:hAnsi="Times New Roman" w:cs="Times New Roman"/>
          <w:sz w:val="22"/>
        </w:rPr>
        <w:t xml:space="preserve">Reply: At present, most of the work in the feasibility study stage has been basically completed, for example geological exploration work, equipment layout requirements and so </w:t>
      </w:r>
      <w:proofErr w:type="gramStart"/>
      <w:r w:rsidRPr="00631F5A">
        <w:rPr>
          <w:rFonts w:ascii="Times New Roman" w:hAnsi="Times New Roman" w:cs="Times New Roman"/>
          <w:sz w:val="22"/>
        </w:rPr>
        <w:t>on .</w:t>
      </w:r>
      <w:proofErr w:type="gramEnd"/>
      <w:r w:rsidRPr="00631F5A">
        <w:rPr>
          <w:rFonts w:ascii="Times New Roman" w:hAnsi="Times New Roman" w:cs="Times New Roman"/>
          <w:sz w:val="22"/>
        </w:rPr>
        <w:t xml:space="preserve"> The CEPC schedule will be determined based on the above work.</w:t>
      </w:r>
    </w:p>
    <w:p w14:paraId="1D3D8581" w14:textId="3364EC6C" w:rsidR="00F2778B" w:rsidRPr="00F2778B" w:rsidRDefault="00F2778B" w:rsidP="00B21F92">
      <w:pPr>
        <w:pStyle w:val="1"/>
        <w:spacing w:beforeLines="100" w:before="312" w:afterLines="100" w:after="312" w:line="360" w:lineRule="auto"/>
        <w:ind w:firstLineChars="176" w:firstLine="424"/>
        <w:rPr>
          <w:rFonts w:ascii="Times New Roman" w:hAnsi="Times New Roman" w:cs="Times New Roman"/>
          <w:sz w:val="24"/>
          <w:szCs w:val="24"/>
        </w:rPr>
      </w:pPr>
      <w:r w:rsidRPr="00F2778B">
        <w:rPr>
          <w:rFonts w:ascii="Times New Roman" w:hAnsi="Times New Roman" w:cs="Times New Roman"/>
          <w:sz w:val="24"/>
          <w:szCs w:val="24"/>
        </w:rPr>
        <w:t xml:space="preserve">A.26 </w:t>
      </w:r>
      <w:proofErr w:type="spellStart"/>
      <w:r w:rsidRPr="00F2778B">
        <w:rPr>
          <w:rFonts w:ascii="Times New Roman" w:hAnsi="Times New Roman" w:cs="Times New Roman"/>
          <w:sz w:val="24"/>
          <w:szCs w:val="24"/>
        </w:rPr>
        <w:t>SppC</w:t>
      </w:r>
      <w:proofErr w:type="spellEnd"/>
      <w:r w:rsidRPr="00F2778B">
        <w:rPr>
          <w:rFonts w:ascii="Times New Roman" w:hAnsi="Times New Roman" w:cs="Times New Roman"/>
          <w:sz w:val="24"/>
          <w:szCs w:val="24"/>
        </w:rPr>
        <w:t xml:space="preserve"> high-field magnet (HFM) dipole development (Qingjin Xu)</w:t>
      </w:r>
    </w:p>
    <w:p w14:paraId="59ADA88A" w14:textId="77777777" w:rsidR="00F2778B" w:rsidRPr="00F2778B" w:rsidRDefault="00F2778B" w:rsidP="00B21F92">
      <w:pPr>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 xml:space="preserve">1. Pursue the HTS superconductor development in particular for IBS and the HFM development to reach 16T and higher in hybrid configuration, for realizing accelerator quality magnets; </w:t>
      </w:r>
    </w:p>
    <w:p w14:paraId="680D06A4" w14:textId="77777777" w:rsidR="00F2778B" w:rsidRPr="00F2778B" w:rsidRDefault="00F2778B" w:rsidP="00B21F92">
      <w:pPr>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 xml:space="preserve">Response: </w:t>
      </w:r>
      <w:proofErr w:type="gramStart"/>
      <w:r w:rsidRPr="00F2778B">
        <w:rPr>
          <w:rFonts w:ascii="Times New Roman" w:hAnsi="Times New Roman" w:cs="Times New Roman"/>
          <w:sz w:val="22"/>
        </w:rPr>
        <w:t>Yes</w:t>
      </w:r>
      <w:proofErr w:type="gramEnd"/>
      <w:r w:rsidRPr="00F2778B">
        <w:rPr>
          <w:rFonts w:ascii="Times New Roman" w:hAnsi="Times New Roman" w:cs="Times New Roman"/>
          <w:sz w:val="22"/>
        </w:rPr>
        <w:t xml:space="preserve"> we have plan for next years which will focus on the realization of 16+ T </w:t>
      </w:r>
      <w:r w:rsidRPr="00F2778B">
        <w:rPr>
          <w:rFonts w:ascii="Times New Roman" w:hAnsi="Times New Roman" w:cs="Times New Roman"/>
          <w:sz w:val="22"/>
        </w:rPr>
        <w:lastRenderedPageBreak/>
        <w:t xml:space="preserve">model dipole magnets with IBS and hybrid configuration. Innovative ways to increase the field quality of the HTS magnets will be investigated. </w:t>
      </w:r>
    </w:p>
    <w:p w14:paraId="551169EA" w14:textId="77777777" w:rsidR="00F2778B" w:rsidRPr="00F2778B" w:rsidRDefault="00F2778B" w:rsidP="00B21F92">
      <w:pPr>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2. Develop the method and the diagnostics for pin-pointing quench locations and identifying their origin in the superconducting coil, contributing to the improvement of magnet performance.</w:t>
      </w:r>
    </w:p>
    <w:p w14:paraId="154B0074" w14:textId="77777777" w:rsidR="00F2778B" w:rsidRPr="00F2778B" w:rsidRDefault="00F2778B" w:rsidP="00B21F92">
      <w:pPr>
        <w:spacing w:line="360" w:lineRule="auto"/>
        <w:ind w:firstLineChars="176" w:firstLine="387"/>
        <w:rPr>
          <w:rFonts w:ascii="Times New Roman" w:hAnsi="Times New Roman" w:cs="Times New Roman"/>
          <w:sz w:val="22"/>
        </w:rPr>
      </w:pPr>
      <w:r w:rsidRPr="00F2778B">
        <w:rPr>
          <w:rFonts w:ascii="Times New Roman" w:hAnsi="Times New Roman" w:cs="Times New Roman"/>
          <w:sz w:val="22"/>
        </w:rPr>
        <w:t>Response: Thanks for the suggestion. IHEP team will allocate the manpower and resources on the investigation of the origins and locations of the quench both in LTS and HTS coils, to continuously increase the performance and stability of the high field superconducting magnets.</w:t>
      </w:r>
    </w:p>
    <w:p w14:paraId="1FE309F7" w14:textId="102A537B" w:rsidR="00357E3D" w:rsidRPr="00F2778B" w:rsidRDefault="00357E3D" w:rsidP="00B21F92">
      <w:pPr>
        <w:spacing w:line="360" w:lineRule="auto"/>
        <w:ind w:firstLineChars="176" w:firstLine="387"/>
        <w:rPr>
          <w:rFonts w:ascii="Times New Roman" w:eastAsiaTheme="minorEastAsia" w:hAnsi="Times New Roman" w:cs="Times New Roman"/>
          <w:sz w:val="22"/>
        </w:rPr>
      </w:pPr>
    </w:p>
    <w:sectPr w:rsidR="00357E3D" w:rsidRPr="00F2778B">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95B4E" w14:textId="77777777" w:rsidR="008606C8" w:rsidRDefault="008606C8" w:rsidP="007D3C54">
      <w:r>
        <w:separator/>
      </w:r>
    </w:p>
  </w:endnote>
  <w:endnote w:type="continuationSeparator" w:id="0">
    <w:p w14:paraId="0FF720D4" w14:textId="77777777" w:rsidR="008606C8" w:rsidRDefault="008606C8" w:rsidP="007D3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MR10">
    <w:altName w:val="MS Gothic"/>
    <w:panose1 w:val="00000000000000000000"/>
    <w:charset w:val="80"/>
    <w:family w:val="auto"/>
    <w:notTrueType/>
    <w:pitch w:val="default"/>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CMBX1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131372"/>
      <w:docPartObj>
        <w:docPartGallery w:val="Page Numbers (Bottom of Page)"/>
        <w:docPartUnique/>
      </w:docPartObj>
    </w:sdtPr>
    <w:sdtEndPr/>
    <w:sdtContent>
      <w:p w14:paraId="026363BF" w14:textId="35ADD54B" w:rsidR="007D3C54" w:rsidRDefault="007D3C54">
        <w:pPr>
          <w:pStyle w:val="aa"/>
          <w:jc w:val="right"/>
        </w:pPr>
        <w:r>
          <w:fldChar w:fldCharType="begin"/>
        </w:r>
        <w:r>
          <w:instrText>PAGE   \* MERGEFORMAT</w:instrText>
        </w:r>
        <w:r>
          <w:fldChar w:fldCharType="separate"/>
        </w:r>
        <w:r>
          <w:rPr>
            <w:lang w:val="zh-CN"/>
          </w:rPr>
          <w:t>2</w:t>
        </w:r>
        <w:r>
          <w:fldChar w:fldCharType="end"/>
        </w:r>
      </w:p>
    </w:sdtContent>
  </w:sdt>
  <w:p w14:paraId="2EBDF277" w14:textId="77777777" w:rsidR="007D3C54" w:rsidRDefault="007D3C5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642E9" w14:textId="77777777" w:rsidR="008606C8" w:rsidRDefault="008606C8" w:rsidP="007D3C54">
      <w:r>
        <w:separator/>
      </w:r>
    </w:p>
  </w:footnote>
  <w:footnote w:type="continuationSeparator" w:id="0">
    <w:p w14:paraId="1B79D248" w14:textId="77777777" w:rsidR="008606C8" w:rsidRDefault="008606C8" w:rsidP="007D3C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91621A"/>
    <w:multiLevelType w:val="singleLevel"/>
    <w:tmpl w:val="0409000F"/>
    <w:lvl w:ilvl="0">
      <w:start w:val="1"/>
      <w:numFmt w:val="decimal"/>
      <w:lvlText w:val="%1."/>
      <w:lvlJc w:val="left"/>
      <w:pPr>
        <w:ind w:left="420" w:hanging="420"/>
      </w:pPr>
      <w:rPr>
        <w:rFonts w:hint="default"/>
      </w:rPr>
    </w:lvl>
  </w:abstractNum>
  <w:abstractNum w:abstractNumId="1" w15:restartNumberingAfterBreak="0">
    <w:nsid w:val="00EB6230"/>
    <w:multiLevelType w:val="multilevel"/>
    <w:tmpl w:val="532AF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C3FC1"/>
    <w:multiLevelType w:val="multilevel"/>
    <w:tmpl w:val="7C30DEBC"/>
    <w:lvl w:ilvl="0">
      <w:start w:val="4"/>
      <w:numFmt w:val="decimal"/>
      <w:lvlText w:val="%1."/>
      <w:lvlJc w:val="left"/>
      <w:pPr>
        <w:tabs>
          <w:tab w:val="num" w:pos="720"/>
        </w:tabs>
        <w:ind w:left="720" w:hanging="360"/>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3" w15:restartNumberingAfterBreak="0">
    <w:nsid w:val="1A01425A"/>
    <w:multiLevelType w:val="hybridMultilevel"/>
    <w:tmpl w:val="B15464E6"/>
    <w:lvl w:ilvl="0" w:tplc="F80A32C2">
      <w:start w:val="1"/>
      <w:numFmt w:val="decimal"/>
      <w:lvlText w:val="%1."/>
      <w:lvlJc w:val="left"/>
      <w:pPr>
        <w:ind w:left="362" w:hanging="360"/>
      </w:pPr>
      <w:rPr>
        <w:rFonts w:hint="default"/>
      </w:r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4" w15:restartNumberingAfterBreak="0">
    <w:nsid w:val="443A1536"/>
    <w:multiLevelType w:val="multilevel"/>
    <w:tmpl w:val="E60E5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1D09C8"/>
    <w:multiLevelType w:val="hybridMultilevel"/>
    <w:tmpl w:val="786E75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41A4B20"/>
    <w:multiLevelType w:val="hybridMultilevel"/>
    <w:tmpl w:val="1E76D86E"/>
    <w:lvl w:ilvl="0" w:tplc="6834EA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6"/>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3C1"/>
    <w:rsid w:val="0004341E"/>
    <w:rsid w:val="00083558"/>
    <w:rsid w:val="000E2D7C"/>
    <w:rsid w:val="00184C7C"/>
    <w:rsid w:val="001A6EC8"/>
    <w:rsid w:val="00234FBD"/>
    <w:rsid w:val="002554A9"/>
    <w:rsid w:val="00283EC7"/>
    <w:rsid w:val="002B1BDF"/>
    <w:rsid w:val="002C4EDD"/>
    <w:rsid w:val="002D0ED9"/>
    <w:rsid w:val="002F6E01"/>
    <w:rsid w:val="00357E3D"/>
    <w:rsid w:val="003D60FA"/>
    <w:rsid w:val="00406C66"/>
    <w:rsid w:val="00414B63"/>
    <w:rsid w:val="0042744B"/>
    <w:rsid w:val="004F3D2D"/>
    <w:rsid w:val="005273CC"/>
    <w:rsid w:val="0056354D"/>
    <w:rsid w:val="005C5E85"/>
    <w:rsid w:val="005D1009"/>
    <w:rsid w:val="00631F5A"/>
    <w:rsid w:val="006968AF"/>
    <w:rsid w:val="006C3ECC"/>
    <w:rsid w:val="00737BD4"/>
    <w:rsid w:val="007B66B9"/>
    <w:rsid w:val="007D3C54"/>
    <w:rsid w:val="007E0A6C"/>
    <w:rsid w:val="007F23C1"/>
    <w:rsid w:val="008606C8"/>
    <w:rsid w:val="00871C78"/>
    <w:rsid w:val="00874C8E"/>
    <w:rsid w:val="00AF2906"/>
    <w:rsid w:val="00B21F92"/>
    <w:rsid w:val="00D76D00"/>
    <w:rsid w:val="00EE20F7"/>
    <w:rsid w:val="00F2778B"/>
    <w:rsid w:val="00FA320C"/>
    <w:rsid w:val="00FD4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71699"/>
  <w15:chartTrackingRefBased/>
  <w15:docId w15:val="{77E9355D-3F2D-4753-9F42-71FF99C4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0ED9"/>
    <w:pPr>
      <w:widowControl w:val="0"/>
      <w:jc w:val="both"/>
    </w:pPr>
    <w:rPr>
      <w:rFonts w:eastAsia="Times New Roman"/>
      <w:sz w:val="24"/>
    </w:rPr>
  </w:style>
  <w:style w:type="paragraph" w:styleId="1">
    <w:name w:val="heading 1"/>
    <w:basedOn w:val="a"/>
    <w:next w:val="a"/>
    <w:link w:val="10"/>
    <w:uiPriority w:val="9"/>
    <w:qFormat/>
    <w:rsid w:val="00406C6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D0ED9"/>
    <w:pPr>
      <w:keepNext/>
      <w:keepLines/>
      <w:spacing w:before="260" w:after="260" w:line="416" w:lineRule="auto"/>
      <w:outlineLvl w:val="1"/>
    </w:pPr>
    <w:rPr>
      <w:rFonts w:asciiTheme="majorHAnsi" w:eastAsia="宋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D0ED9"/>
    <w:rPr>
      <w:rFonts w:asciiTheme="majorHAnsi" w:eastAsia="宋体" w:hAnsiTheme="majorHAnsi" w:cstheme="majorBidi"/>
      <w:b/>
      <w:bCs/>
      <w:sz w:val="32"/>
      <w:szCs w:val="32"/>
    </w:rPr>
  </w:style>
  <w:style w:type="character" w:customStyle="1" w:styleId="fontstyle01">
    <w:name w:val="fontstyle01"/>
    <w:basedOn w:val="a0"/>
    <w:rsid w:val="00406C66"/>
    <w:rPr>
      <w:rFonts w:ascii="CMR10" w:hAnsi="CMR10" w:hint="default"/>
      <w:b w:val="0"/>
      <w:bCs w:val="0"/>
      <w:i w:val="0"/>
      <w:iCs w:val="0"/>
      <w:color w:val="000000"/>
      <w:sz w:val="20"/>
      <w:szCs w:val="20"/>
    </w:rPr>
  </w:style>
  <w:style w:type="character" w:styleId="a3">
    <w:name w:val="Hyperlink"/>
    <w:basedOn w:val="a0"/>
    <w:uiPriority w:val="99"/>
    <w:unhideWhenUsed/>
    <w:rsid w:val="00406C66"/>
    <w:rPr>
      <w:color w:val="0563C1" w:themeColor="hyperlink"/>
      <w:u w:val="single"/>
    </w:rPr>
  </w:style>
  <w:style w:type="paragraph" w:styleId="a4">
    <w:name w:val="List Paragraph"/>
    <w:basedOn w:val="a"/>
    <w:uiPriority w:val="34"/>
    <w:qFormat/>
    <w:rsid w:val="00406C66"/>
    <w:pPr>
      <w:ind w:firstLineChars="200" w:firstLine="420"/>
    </w:pPr>
    <w:rPr>
      <w:rFonts w:eastAsiaTheme="minorEastAsia"/>
      <w:sz w:val="21"/>
    </w:rPr>
  </w:style>
  <w:style w:type="paragraph" w:styleId="a5">
    <w:name w:val="Normal (Web)"/>
    <w:basedOn w:val="a"/>
    <w:uiPriority w:val="99"/>
    <w:semiHidden/>
    <w:unhideWhenUsed/>
    <w:rsid w:val="00406C66"/>
    <w:pPr>
      <w:widowControl/>
      <w:spacing w:before="100" w:beforeAutospacing="1" w:after="100" w:afterAutospacing="1"/>
      <w:jc w:val="left"/>
    </w:pPr>
    <w:rPr>
      <w:rFonts w:ascii="Times New Roman" w:hAnsi="Times New Roman" w:cs="Times New Roman"/>
      <w:kern w:val="0"/>
      <w:szCs w:val="24"/>
      <w:lang w:val="en-HK"/>
    </w:rPr>
  </w:style>
  <w:style w:type="paragraph" w:styleId="a6">
    <w:name w:val="Subtitle"/>
    <w:basedOn w:val="a"/>
    <w:next w:val="a"/>
    <w:link w:val="a7"/>
    <w:uiPriority w:val="11"/>
    <w:qFormat/>
    <w:rsid w:val="00406C66"/>
    <w:pPr>
      <w:spacing w:before="240" w:after="60" w:line="312" w:lineRule="auto"/>
      <w:jc w:val="center"/>
      <w:outlineLvl w:val="1"/>
    </w:pPr>
    <w:rPr>
      <w:rFonts w:eastAsiaTheme="minorEastAsia"/>
      <w:b/>
      <w:bCs/>
      <w:kern w:val="28"/>
      <w:sz w:val="32"/>
      <w:szCs w:val="32"/>
    </w:rPr>
  </w:style>
  <w:style w:type="character" w:customStyle="1" w:styleId="a7">
    <w:name w:val="副标题 字符"/>
    <w:basedOn w:val="a0"/>
    <w:link w:val="a6"/>
    <w:uiPriority w:val="11"/>
    <w:rsid w:val="00406C66"/>
    <w:rPr>
      <w:b/>
      <w:bCs/>
      <w:kern w:val="28"/>
      <w:sz w:val="32"/>
      <w:szCs w:val="32"/>
    </w:rPr>
  </w:style>
  <w:style w:type="character" w:customStyle="1" w:styleId="10">
    <w:name w:val="标题 1 字符"/>
    <w:basedOn w:val="a0"/>
    <w:link w:val="1"/>
    <w:uiPriority w:val="9"/>
    <w:rsid w:val="00406C66"/>
    <w:rPr>
      <w:rFonts w:eastAsia="Times New Roman"/>
      <w:b/>
      <w:bCs/>
      <w:kern w:val="44"/>
      <w:sz w:val="44"/>
      <w:szCs w:val="44"/>
    </w:rPr>
  </w:style>
  <w:style w:type="paragraph" w:styleId="a8">
    <w:name w:val="header"/>
    <w:basedOn w:val="a"/>
    <w:link w:val="a9"/>
    <w:uiPriority w:val="99"/>
    <w:unhideWhenUsed/>
    <w:rsid w:val="007D3C5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7D3C54"/>
    <w:rPr>
      <w:rFonts w:eastAsia="Times New Roman"/>
      <w:sz w:val="18"/>
      <w:szCs w:val="18"/>
    </w:rPr>
  </w:style>
  <w:style w:type="paragraph" w:styleId="aa">
    <w:name w:val="footer"/>
    <w:basedOn w:val="a"/>
    <w:link w:val="ab"/>
    <w:uiPriority w:val="99"/>
    <w:unhideWhenUsed/>
    <w:rsid w:val="007D3C54"/>
    <w:pPr>
      <w:tabs>
        <w:tab w:val="center" w:pos="4153"/>
        <w:tab w:val="right" w:pos="8306"/>
      </w:tabs>
      <w:snapToGrid w:val="0"/>
      <w:jc w:val="left"/>
    </w:pPr>
    <w:rPr>
      <w:sz w:val="18"/>
      <w:szCs w:val="18"/>
    </w:rPr>
  </w:style>
  <w:style w:type="character" w:customStyle="1" w:styleId="ab">
    <w:name w:val="页脚 字符"/>
    <w:basedOn w:val="a0"/>
    <w:link w:val="aa"/>
    <w:uiPriority w:val="99"/>
    <w:rsid w:val="007D3C54"/>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co.global/event/12246/"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ndico.ihep.ac.cn/event/19316/"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indico.ihep.ac.cn/event/19262/timetabl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lac.stanford.edu/econf/C1810085/"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36</Pages>
  <Words>9537</Words>
  <Characters>54361</Characters>
  <Application>Microsoft Office Word</Application>
  <DocSecurity>0</DocSecurity>
  <Lines>453</Lines>
  <Paragraphs>127</Paragraphs>
  <ScaleCrop>false</ScaleCrop>
  <Company/>
  <LinksUpToDate>false</LinksUpToDate>
  <CharactersWithSpaces>63771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Jin</dc:creator>
  <cp:keywords/>
  <dc:description/>
  <cp:lastModifiedBy>S Jin</cp:lastModifiedBy>
  <cp:revision>13</cp:revision>
  <dcterms:created xsi:type="dcterms:W3CDTF">2025-11-20T08:09:00Z</dcterms:created>
  <dcterms:modified xsi:type="dcterms:W3CDTF">2025-11-21T09:33:00Z</dcterms:modified>
</cp:coreProperties>
</file>