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2689D" w14:textId="6C057F59" w:rsidR="00556DE5" w:rsidRDefault="005F056C" w:rsidP="005F056C">
      <w:pPr>
        <w:jc w:val="center"/>
        <w:rPr>
          <w:sz w:val="48"/>
          <w:szCs w:val="48"/>
        </w:rPr>
      </w:pPr>
      <w:r>
        <w:rPr>
          <w:sz w:val="48"/>
          <w:szCs w:val="48"/>
        </w:rPr>
        <w:t>THE IDRC REVIEW OF THE CEPC REFERENCE DETECTOR TDR</w:t>
      </w:r>
    </w:p>
    <w:p w14:paraId="74FBF44E" w14:textId="77777777" w:rsidR="005F056C" w:rsidRDefault="005F056C">
      <w:pPr>
        <w:jc w:val="both"/>
        <w:rPr>
          <w:sz w:val="48"/>
          <w:szCs w:val="48"/>
        </w:rPr>
      </w:pPr>
    </w:p>
    <w:p w14:paraId="02C34B41" w14:textId="77777777" w:rsidR="005F056C" w:rsidRDefault="005F056C">
      <w:pPr>
        <w:jc w:val="both"/>
        <w:rPr>
          <w:sz w:val="48"/>
          <w:szCs w:val="48"/>
        </w:rPr>
      </w:pPr>
    </w:p>
    <w:p w14:paraId="18340596" w14:textId="0CEB5430" w:rsidR="00556DE5" w:rsidRDefault="00000000">
      <w:pPr>
        <w:jc w:val="both"/>
        <w:rPr>
          <w:sz w:val="48"/>
          <w:szCs w:val="48"/>
        </w:rPr>
      </w:pPr>
      <w:r>
        <w:rPr>
          <w:sz w:val="48"/>
          <w:szCs w:val="48"/>
        </w:rPr>
        <w:t xml:space="preserve">                     </w:t>
      </w:r>
      <w:r w:rsidR="005F056C">
        <w:rPr>
          <w:sz w:val="48"/>
          <w:szCs w:val="48"/>
        </w:rPr>
        <w:t>October</w:t>
      </w:r>
      <w:r>
        <w:rPr>
          <w:sz w:val="48"/>
          <w:szCs w:val="48"/>
        </w:rPr>
        <w:t xml:space="preserve"> 2025</w:t>
      </w:r>
    </w:p>
    <w:p w14:paraId="1EC707F6" w14:textId="77777777" w:rsidR="00556DE5" w:rsidRDefault="00556DE5">
      <w:pPr>
        <w:jc w:val="both"/>
        <w:rPr>
          <w:sz w:val="48"/>
          <w:szCs w:val="48"/>
        </w:rPr>
      </w:pPr>
    </w:p>
    <w:p w14:paraId="5489323F" w14:textId="77777777" w:rsidR="00556DE5" w:rsidRDefault="00000000">
      <w:pPr>
        <w:jc w:val="both"/>
        <w:rPr>
          <w:sz w:val="48"/>
          <w:szCs w:val="48"/>
        </w:rPr>
      </w:pPr>
      <w:r>
        <w:rPr>
          <w:noProof/>
          <w:sz w:val="48"/>
          <w:szCs w:val="48"/>
        </w:rPr>
        <w:drawing>
          <wp:inline distT="114300" distB="114300" distL="114300" distR="114300" wp14:anchorId="07FCF7D2" wp14:editId="0EBBD7DB">
            <wp:extent cx="5943600" cy="30480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943600" cy="3048000"/>
                    </a:xfrm>
                    <a:prstGeom prst="rect">
                      <a:avLst/>
                    </a:prstGeom>
                    <a:ln/>
                  </pic:spPr>
                </pic:pic>
              </a:graphicData>
            </a:graphic>
          </wp:inline>
        </w:drawing>
      </w:r>
    </w:p>
    <w:p w14:paraId="2E597879" w14:textId="77777777" w:rsidR="00556DE5" w:rsidRDefault="00556DE5">
      <w:pPr>
        <w:jc w:val="both"/>
        <w:rPr>
          <w:sz w:val="48"/>
          <w:szCs w:val="48"/>
        </w:rPr>
      </w:pPr>
    </w:p>
    <w:p w14:paraId="396F8EC7" w14:textId="55E5FA54" w:rsidR="00556DE5" w:rsidRDefault="00556DE5">
      <w:pPr>
        <w:jc w:val="both"/>
        <w:rPr>
          <w:sz w:val="48"/>
          <w:szCs w:val="48"/>
        </w:rPr>
      </w:pPr>
    </w:p>
    <w:p w14:paraId="07C53373" w14:textId="77777777" w:rsidR="00556DE5" w:rsidRDefault="00556DE5">
      <w:pPr>
        <w:jc w:val="both"/>
        <w:rPr>
          <w:sz w:val="48"/>
          <w:szCs w:val="48"/>
        </w:rPr>
      </w:pPr>
    </w:p>
    <w:p w14:paraId="33537D5F" w14:textId="77777777" w:rsidR="00556DE5" w:rsidRDefault="00556DE5">
      <w:pPr>
        <w:jc w:val="both"/>
        <w:rPr>
          <w:sz w:val="48"/>
          <w:szCs w:val="48"/>
        </w:rPr>
      </w:pPr>
    </w:p>
    <w:p w14:paraId="24FD8100" w14:textId="77777777" w:rsidR="00556DE5" w:rsidRDefault="00556DE5">
      <w:pPr>
        <w:jc w:val="both"/>
        <w:rPr>
          <w:sz w:val="48"/>
          <w:szCs w:val="48"/>
        </w:rPr>
      </w:pPr>
    </w:p>
    <w:p w14:paraId="2C4AAE86" w14:textId="77777777" w:rsidR="00556DE5" w:rsidRDefault="00556DE5">
      <w:pPr>
        <w:jc w:val="both"/>
        <w:rPr>
          <w:sz w:val="48"/>
          <w:szCs w:val="48"/>
        </w:rPr>
      </w:pPr>
    </w:p>
    <w:p w14:paraId="6B98FF4A" w14:textId="60CC1639" w:rsidR="00556DE5" w:rsidRPr="00C3496D" w:rsidRDefault="00000000" w:rsidP="00C3496D">
      <w:pPr>
        <w:pStyle w:val="Heading1"/>
      </w:pPr>
      <w:bookmarkStart w:id="0" w:name="_gw2ffnrqekqs" w:colFirst="0" w:colLast="0"/>
      <w:bookmarkStart w:id="1" w:name="_tc2mjq36ubn9" w:colFirst="0" w:colLast="0"/>
      <w:bookmarkEnd w:id="0"/>
      <w:bookmarkEnd w:id="1"/>
      <w:r w:rsidRPr="00C3496D">
        <w:lastRenderedPageBreak/>
        <w:t>Executive Summary</w:t>
      </w:r>
    </w:p>
    <w:p w14:paraId="63EFE22B" w14:textId="2A83F74E" w:rsidR="00C3496D" w:rsidRPr="00E45DE4" w:rsidRDefault="00C3496D" w:rsidP="00722372">
      <w:pPr>
        <w:pStyle w:val="NormalWeb"/>
        <w:spacing w:line="276" w:lineRule="auto"/>
        <w:jc w:val="both"/>
        <w:rPr>
          <w:b/>
          <w:bCs/>
          <w:color w:val="000000"/>
        </w:rPr>
      </w:pPr>
      <w:bookmarkStart w:id="2" w:name="_iotpdfj8cii4" w:colFirst="0" w:colLast="0"/>
      <w:bookmarkEnd w:id="2"/>
      <w:r>
        <w:rPr>
          <w:color w:val="000000"/>
        </w:rPr>
        <w:t xml:space="preserve">The Reference </w:t>
      </w:r>
      <w:r w:rsidR="00654783">
        <w:rPr>
          <w:color w:val="000000"/>
        </w:rPr>
        <w:t xml:space="preserve">Detector </w:t>
      </w:r>
      <w:r>
        <w:rPr>
          <w:color w:val="000000"/>
        </w:rPr>
        <w:t>Technical Design Report (Ref-TDR) presents a coherent detector concept with well-defined physics reach. The major design choices have been consolidated, and the project now stands ready to transition from conceptual design to the integrated prototyping and system-validation phase.</w:t>
      </w:r>
      <w:r w:rsidR="00E45DE4">
        <w:rPr>
          <w:color w:val="000000"/>
        </w:rPr>
        <w:t xml:space="preserve"> </w:t>
      </w:r>
    </w:p>
    <w:p w14:paraId="2E057366" w14:textId="6AD8C142" w:rsidR="00CC2E83" w:rsidRPr="00CC2E83" w:rsidRDefault="00CC2E83" w:rsidP="00722372">
      <w:pPr>
        <w:pStyle w:val="NormalWeb"/>
        <w:spacing w:line="276" w:lineRule="auto"/>
        <w:jc w:val="both"/>
        <w:rPr>
          <w:color w:val="000000"/>
        </w:rPr>
      </w:pPr>
      <w:r w:rsidRPr="00CC2E83">
        <w:rPr>
          <w:color w:val="000000"/>
        </w:rPr>
        <w:t>In addition to the CEPC Reference Detector, the Ref-TDR presents brief summaries of two other detector concepts: the</w:t>
      </w:r>
      <w:r w:rsidRPr="00CC2E83">
        <w:rPr>
          <w:rStyle w:val="apple-converted-space"/>
          <w:color w:val="000000"/>
        </w:rPr>
        <w:t> </w:t>
      </w:r>
      <w:r w:rsidRPr="00CC2E83">
        <w:rPr>
          <w:rStyle w:val="Emphasis"/>
          <w:color w:val="000000"/>
        </w:rPr>
        <w:t>International Large Detector (ILD)</w:t>
      </w:r>
      <w:r w:rsidRPr="00CC2E83">
        <w:rPr>
          <w:color w:val="000000"/>
        </w:rPr>
        <w:t xml:space="preserve">, adapted from its linear-collider configuration for operation at a circular </w:t>
      </w:r>
      <w:proofErr w:type="spellStart"/>
      <w:r w:rsidRPr="00CC2E83">
        <w:rPr>
          <w:color w:val="000000"/>
        </w:rPr>
        <w:t>e⁺e</w:t>
      </w:r>
      <w:proofErr w:type="spellEnd"/>
      <w:r w:rsidRPr="00CC2E83">
        <w:rPr>
          <w:color w:val="000000"/>
        </w:rPr>
        <w:t>⁻ collider, and the</w:t>
      </w:r>
      <w:r w:rsidRPr="00CC2E83">
        <w:rPr>
          <w:rStyle w:val="apple-converted-space"/>
          <w:color w:val="000000"/>
        </w:rPr>
        <w:t> </w:t>
      </w:r>
      <w:r w:rsidRPr="00CC2E83">
        <w:rPr>
          <w:rStyle w:val="Emphasis"/>
          <w:color w:val="000000"/>
        </w:rPr>
        <w:t>Innovative Detector for Electron–positron Accelerator (IDEA)</w:t>
      </w:r>
      <w:r w:rsidRPr="00CC2E83">
        <w:rPr>
          <w:color w:val="000000"/>
        </w:rPr>
        <w:t>, originally developed for the FCC-ee. Both are technically compatible with CEPC running conditions and represent viable alternatives for future consideration. However, the present review by the International Detector Review Committee (IDRC) was limited in scope to the CEPC Reference Detector and did not include an assessment of ILD or IDEA.</w:t>
      </w:r>
    </w:p>
    <w:p w14:paraId="04C473ED" w14:textId="6EF5F340" w:rsidR="00C3496D" w:rsidRPr="00A0613F" w:rsidRDefault="00C3496D" w:rsidP="00722372">
      <w:pPr>
        <w:pStyle w:val="NormalWeb"/>
        <w:spacing w:line="276" w:lineRule="auto"/>
        <w:jc w:val="both"/>
        <w:rPr>
          <w:b/>
          <w:bCs/>
          <w:color w:val="000000"/>
        </w:rPr>
      </w:pPr>
      <w:r>
        <w:rPr>
          <w:color w:val="000000"/>
        </w:rPr>
        <w:t xml:space="preserve">The CEPC Reference Detector serves a dual strategic purpose. In addition to defining a technically robust and scientifically compelling design, it establishes the common foundation for the two international detector collaborations that will be formed in the next project phase. This approach—where a single reference TDR provides the basis for multiple experimental collaborations—is </w:t>
      </w:r>
      <w:r w:rsidR="00654783">
        <w:rPr>
          <w:color w:val="000000"/>
        </w:rPr>
        <w:t xml:space="preserve">unique </w:t>
      </w:r>
      <w:r>
        <w:rPr>
          <w:color w:val="000000"/>
        </w:rPr>
        <w:t xml:space="preserve">among large collider projects and reflects </w:t>
      </w:r>
      <w:r w:rsidR="00CC2E83">
        <w:rPr>
          <w:color w:val="000000"/>
        </w:rPr>
        <w:t xml:space="preserve">the ambition </w:t>
      </w:r>
      <w:r>
        <w:rPr>
          <w:color w:val="000000"/>
        </w:rPr>
        <w:t>of the CEPC design. The Reference Detector, as described in the Ref-TDR, represents an instrument that could be built and commissioned within a decade, offering an excellent foundation for one of the two future international collaborations and a strong starting point for the CEPC experimental programme.</w:t>
      </w:r>
      <w:r w:rsidR="00A0613F">
        <w:rPr>
          <w:color w:val="000000"/>
        </w:rPr>
        <w:t xml:space="preserve"> </w:t>
      </w:r>
    </w:p>
    <w:p w14:paraId="7F9FF893" w14:textId="77777777" w:rsidR="00C3496D" w:rsidRDefault="00C3496D" w:rsidP="00722372">
      <w:pPr>
        <w:pStyle w:val="NormalWeb"/>
        <w:spacing w:line="276" w:lineRule="auto"/>
        <w:jc w:val="both"/>
        <w:rPr>
          <w:color w:val="000000"/>
        </w:rPr>
      </w:pPr>
      <w:r>
        <w:rPr>
          <w:color w:val="000000"/>
        </w:rPr>
        <w:t>The next phase should focus on building and testing system-level prototypes that combine mechanical, thermal, electrical, and readout components. Integrated sector or module demonstrators will provide the necessary validation of mechanical stability, cooling efficiency, electrical integrity, and timing performance. These tests will be critical for technology down-selection and for refining the engineering of large-scale assemblies. Early establishment of end-to-end system tests connecting sensors, front-end electronics, data acquisition, and reconstruction software will be essential to verify the full operational chain and identify integration challenges at an early stage.</w:t>
      </w:r>
    </w:p>
    <w:p w14:paraId="3710296C" w14:textId="56D46748" w:rsidR="00C3496D" w:rsidRDefault="00C3496D" w:rsidP="00722372">
      <w:pPr>
        <w:pStyle w:val="NormalWeb"/>
        <w:spacing w:line="276" w:lineRule="auto"/>
        <w:jc w:val="both"/>
        <w:rPr>
          <w:color w:val="000000"/>
        </w:rPr>
      </w:pPr>
      <w:r>
        <w:rPr>
          <w:color w:val="000000"/>
        </w:rPr>
        <w:t xml:space="preserve">A robust and consistent QA/QC strategy must </w:t>
      </w:r>
      <w:r w:rsidR="00CC2E83">
        <w:rPr>
          <w:color w:val="000000"/>
        </w:rPr>
        <w:t xml:space="preserve">be </w:t>
      </w:r>
      <w:r>
        <w:rPr>
          <w:color w:val="000000"/>
        </w:rPr>
        <w:t xml:space="preserve">defined to monitor production uniformity, gain and threshold stability, and mechanical tolerances. Representative sampling and industrial engagement will be key to ensuring reproducibility and cost control. Parallel efforts should finalise the routing and accessibility of cooling, power, and data services, as these design aspects will heavily influence integration, maintenance, and safety procedures. Decisions on the cooling </w:t>
      </w:r>
      <w:r>
        <w:rPr>
          <w:color w:val="000000"/>
        </w:rPr>
        <w:lastRenderedPageBreak/>
        <w:t>approach—particularly the choice between water and supercritical CO₂—should be guided by thermomechanical mock-ups that assess performance</w:t>
      </w:r>
      <w:r w:rsidR="005D37E1">
        <w:rPr>
          <w:color w:val="000000"/>
        </w:rPr>
        <w:t xml:space="preserve"> </w:t>
      </w:r>
      <w:r>
        <w:rPr>
          <w:color w:val="000000"/>
        </w:rPr>
        <w:t>and long-term reliability.</w:t>
      </w:r>
    </w:p>
    <w:p w14:paraId="0211DE0B" w14:textId="6C4C316E" w:rsidR="00C3496D" w:rsidRPr="00A0613F" w:rsidRDefault="00A0613F" w:rsidP="00A0613F">
      <w:pPr>
        <w:pStyle w:val="NormalWeb"/>
        <w:spacing w:line="276" w:lineRule="auto"/>
        <w:jc w:val="both"/>
        <w:rPr>
          <w:color w:val="000000"/>
        </w:rPr>
      </w:pPr>
      <w:r w:rsidRPr="00A0613F">
        <w:rPr>
          <w:rStyle w:val="Strong"/>
          <w:b w:val="0"/>
          <w:bCs w:val="0"/>
          <w:color w:val="000000"/>
        </w:rPr>
        <w:t>Across the subsystems, several technologies are already at an advanced level of technological readiness, while others still require focused R&amp;D before design freeze and the start of mass production can be confidently initiated</w:t>
      </w:r>
      <w:r>
        <w:rPr>
          <w:rStyle w:val="Strong"/>
          <w:color w:val="000000"/>
        </w:rPr>
        <w:t>.</w:t>
      </w:r>
      <w:r>
        <w:rPr>
          <w:color w:val="000000"/>
        </w:rPr>
        <w:t xml:space="preserve"> </w:t>
      </w:r>
      <w:r w:rsidR="00C3496D">
        <w:rPr>
          <w:color w:val="000000"/>
        </w:rPr>
        <w:t>These include the industrial-scale realisation of aluminium-stabilised superconductors for the main solenoid, further irradiation and reliability studies of the advanced MAPS and LGAD sensors, optimisation of beam-induced background modelling for the machine–detector interface, and validation of the novel calorimeter materials and readout uniformity under high-rate conditions. Continued work is also needed on advanced electronics, firmware, and data acquisition, ensuring scalability to the expected data volumes and compatibility with heterogeneous computing architectures. In each of these domains, the upcoming phase should couple targeted R&amp;D with progressively larger and more integrated prototype assemblies, ensuring that performance, cost, and manufacturability criteria are jointly satisfied.</w:t>
      </w:r>
    </w:p>
    <w:p w14:paraId="027FFC41" w14:textId="55D7B1DE" w:rsidR="00C3496D" w:rsidRDefault="00C3496D" w:rsidP="00722372">
      <w:pPr>
        <w:pStyle w:val="NormalWeb"/>
        <w:spacing w:line="276" w:lineRule="auto"/>
        <w:jc w:val="both"/>
        <w:rPr>
          <w:color w:val="000000"/>
        </w:rPr>
      </w:pPr>
      <w:r>
        <w:rPr>
          <w:color w:val="000000"/>
        </w:rPr>
        <w:t>Coordination with the accelerator group remains vital to refine assumptions about beam steering, background envelopes, and synchrotron radiation masking, ensuring consistency between machine parameters and detector design. At the same time, the software and computing framework should converge toward a stable, version-controlled reference configuration, with defined performance benchmarks to ensure reproducibility and cross-validation of results across sub-detectors.</w:t>
      </w:r>
      <w:r w:rsidR="002873BB">
        <w:rPr>
          <w:color w:val="000000"/>
        </w:rPr>
        <w:t xml:space="preserve"> </w:t>
      </w:r>
      <w:r w:rsidR="002873BB" w:rsidRPr="002873BB">
        <w:rPr>
          <w:rStyle w:val="Strong"/>
          <w:b w:val="0"/>
          <w:bCs w:val="0"/>
          <w:color w:val="000000"/>
        </w:rPr>
        <w:t>Physics-performance studies have been carried out using several benchmark processes, demonstrating that the detector concept can deliver the expected precision and efficiency. A clear roadmap for further progress is in place, covering analysis refinements and operational aspects such as alignment, beam-related effects, and improved flavour-tagging algorithms.</w:t>
      </w:r>
    </w:p>
    <w:p w14:paraId="02FCFC32" w14:textId="77777777" w:rsidR="00C3496D" w:rsidRDefault="00C3496D" w:rsidP="00722372">
      <w:pPr>
        <w:pStyle w:val="NormalWeb"/>
        <w:spacing w:line="276" w:lineRule="auto"/>
        <w:jc w:val="both"/>
        <w:rPr>
          <w:color w:val="000000"/>
        </w:rPr>
      </w:pPr>
      <w:r>
        <w:rPr>
          <w:color w:val="000000"/>
        </w:rPr>
        <w:t>The collaboration’s governance and project management structure should now pivot decisively toward prototyping and pre-production readiness. A clear roadmap linking design freeze, prototype milestones, engineering validation, and production qualification will help maintain coherence across sub-detectors. Each phase should include performance metrics, review milestones, and risk assessments to guide decisions transparently and efficiently. Cost models should be refined to explicitly separate material, fabrication, labour, and integration costs, and to include yield losses, QA/QC overheads, and contingencies.</w:t>
      </w:r>
    </w:p>
    <w:p w14:paraId="3E63C594" w14:textId="77777777" w:rsidR="00C3496D" w:rsidRDefault="00C3496D" w:rsidP="00722372">
      <w:pPr>
        <w:pStyle w:val="NormalWeb"/>
        <w:spacing w:line="276" w:lineRule="auto"/>
        <w:jc w:val="both"/>
        <w:rPr>
          <w:color w:val="000000"/>
        </w:rPr>
      </w:pPr>
      <w:r>
        <w:rPr>
          <w:color w:val="000000"/>
        </w:rPr>
        <w:t>Finally, international collaboration remains a cornerstone of success. Shared access to irradiation facilities, test-beam infrastructure, and industrial partnerships will be indispensable to maintain progress and ensure technical robustness. Concentrating collective expertise on critical R&amp;D and integration challenges will enable the CEPC project to translate its strong conceptual foundation into a validated, production-ready detector design with controlled risk and credible schedule performance.</w:t>
      </w:r>
    </w:p>
    <w:p w14:paraId="45C6F6D5" w14:textId="63B51B28" w:rsidR="00CC2E83" w:rsidRDefault="00C3496D" w:rsidP="00722372">
      <w:pPr>
        <w:pStyle w:val="NormalWeb"/>
        <w:spacing w:line="276" w:lineRule="auto"/>
        <w:jc w:val="both"/>
        <w:rPr>
          <w:color w:val="000000"/>
        </w:rPr>
      </w:pPr>
      <w:r>
        <w:rPr>
          <w:color w:val="000000"/>
        </w:rPr>
        <w:lastRenderedPageBreak/>
        <w:t xml:space="preserve">In summary, the CEPC detector programme is entering a decisive stage. </w:t>
      </w:r>
      <w:r w:rsidR="00682FCB" w:rsidRPr="00656D02">
        <w:rPr>
          <w:color w:val="000000"/>
        </w:rPr>
        <w:t xml:space="preserve">A significant </w:t>
      </w:r>
      <w:r w:rsidR="00656D02" w:rsidRPr="00656D02">
        <w:rPr>
          <w:color w:val="000000"/>
        </w:rPr>
        <w:t>portion</w:t>
      </w:r>
      <w:r w:rsidR="00682FCB" w:rsidRPr="00656D02">
        <w:rPr>
          <w:color w:val="000000"/>
        </w:rPr>
        <w:t xml:space="preserve"> of t</w:t>
      </w:r>
      <w:r w:rsidRPr="00656D02">
        <w:rPr>
          <w:color w:val="000000"/>
        </w:rPr>
        <w:t xml:space="preserve">he </w:t>
      </w:r>
      <w:r w:rsidR="00682FCB" w:rsidRPr="00656D02">
        <w:rPr>
          <w:color w:val="000000"/>
        </w:rPr>
        <w:t>technical</w:t>
      </w:r>
      <w:r w:rsidRPr="00656D02">
        <w:rPr>
          <w:color w:val="000000"/>
        </w:rPr>
        <w:t xml:space="preserve"> groundwork is complete, but the coming years must consolidate the design through focused R&amp;D, integrated prototyping, and system validation. By sustaining momentum in innovation while deepening international cooperation, the collaboration will be well positioned</w:t>
      </w:r>
      <w:r>
        <w:rPr>
          <w:color w:val="000000"/>
        </w:rPr>
        <w:t xml:space="preserve"> to deliver a technically mature and scientifically powerful detector system—one capable of serving as the basis for the two international experiments that will define the CEPC physics era.</w:t>
      </w:r>
    </w:p>
    <w:p w14:paraId="7B0F3921" w14:textId="77777777" w:rsidR="00CC2E83" w:rsidRDefault="00CC2E83" w:rsidP="00722372">
      <w:pPr>
        <w:pStyle w:val="Heading1"/>
      </w:pPr>
      <w:r>
        <w:t>The Review Process</w:t>
      </w:r>
    </w:p>
    <w:p w14:paraId="120FA16D" w14:textId="77777777" w:rsidR="00CC2E83" w:rsidRDefault="00CC2E83" w:rsidP="00722372">
      <w:pPr>
        <w:pStyle w:val="NormalWeb"/>
        <w:spacing w:line="276" w:lineRule="auto"/>
        <w:jc w:val="both"/>
        <w:rPr>
          <w:color w:val="000000"/>
        </w:rPr>
      </w:pPr>
      <w:r>
        <w:rPr>
          <w:color w:val="000000"/>
        </w:rPr>
        <w:t>The CEPC International Detector Review Committee (IDRC) initiated its review of the CEPC Reference Detector Technical Design Report (Ref-TDR) in October 2024. The inaugural meeting provided an opportunity for the committee to familiarise itself with the detector concepts and to visit the IHEP laboratories, which demonstrated strong technical capabilities and a long record of contributions to international experiments such as AMS, ATLAS, CMS, and LHCb.</w:t>
      </w:r>
    </w:p>
    <w:p w14:paraId="7CB07E6D" w14:textId="77777777" w:rsidR="00CC2E83" w:rsidRDefault="00CC2E83" w:rsidP="00722372">
      <w:pPr>
        <w:pStyle w:val="NormalWeb"/>
        <w:spacing w:line="276" w:lineRule="auto"/>
        <w:jc w:val="both"/>
        <w:rPr>
          <w:color w:val="000000"/>
        </w:rPr>
      </w:pPr>
      <w:r>
        <w:rPr>
          <w:color w:val="000000"/>
        </w:rPr>
        <w:t>The second meeting of the IDRC was held at IHEP on 14–16 April 2025, during which the committee conducted a detailed review of the draft Ref-TDR. The committee commended the collaboration for its extensive R&amp;D achievements and the overall high quality of the work, particularly noteworthy given the current team size of approximately 90 IHEP members and about 200 scientists from 35 domestic institutes. The committee recommended that personnel levels be increased as soon as possible, in line with CEPC management’s plans for rapid expansion following the completion of the JUNO project. The committee also welcomed the active participation of Chinese institutes in international Detector R&amp;D (DRD) collaborations, recognising this as an essential step toward broader global integration.</w:t>
      </w:r>
    </w:p>
    <w:p w14:paraId="59432C4C" w14:textId="55E4121E" w:rsidR="00CC2E83" w:rsidRDefault="00CC2E83" w:rsidP="00722372">
      <w:pPr>
        <w:pStyle w:val="NormalWeb"/>
        <w:spacing w:line="276" w:lineRule="auto"/>
        <w:jc w:val="both"/>
        <w:rPr>
          <w:color w:val="000000"/>
        </w:rPr>
      </w:pPr>
      <w:r>
        <w:rPr>
          <w:color w:val="000000"/>
        </w:rPr>
        <w:t xml:space="preserve">The review process was completed through a series of follow-up exchanges and focused topical discussions held between </w:t>
      </w:r>
      <w:r w:rsidR="00722372">
        <w:rPr>
          <w:color w:val="000000"/>
        </w:rPr>
        <w:t>June</w:t>
      </w:r>
      <w:r>
        <w:rPr>
          <w:color w:val="000000"/>
        </w:rPr>
        <w:t xml:space="preserve"> and September 2025. These meetings allowed the committee to monitor progress on the implementation of its earlier recommendations and to evaluate successive updates of the Ref-TDR. The present report reflects the committee’s consolidated findings and recommendations based on this full sequence of reviews and discussions, and it is submitted to the archives as the formal record of the IDRC’s assessment of the CEPC Reference Detector.</w:t>
      </w:r>
    </w:p>
    <w:p w14:paraId="00ED032C" w14:textId="50347EB7" w:rsidR="00E2245F" w:rsidRPr="00B72EDC" w:rsidRDefault="00E2245F" w:rsidP="00C3496D">
      <w:pPr>
        <w:pStyle w:val="Heading1"/>
      </w:pPr>
      <w:r w:rsidRPr="00B72EDC">
        <w:t>Machine</w:t>
      </w:r>
      <w:r w:rsidR="008E2076">
        <w:t>-</w:t>
      </w:r>
      <w:r w:rsidRPr="00B72EDC">
        <w:t>Detector Interface</w:t>
      </w:r>
      <w:r w:rsidR="006C212F" w:rsidRPr="00B72EDC">
        <w:t xml:space="preserve"> and Luminosity Monitors</w:t>
      </w:r>
    </w:p>
    <w:p w14:paraId="29D6C36F" w14:textId="3DDA7139" w:rsidR="00194DF9" w:rsidRDefault="00194DF9" w:rsidP="00194DF9">
      <w:pPr>
        <w:pStyle w:val="NormalWeb"/>
        <w:spacing w:line="276" w:lineRule="auto"/>
        <w:jc w:val="both"/>
        <w:rPr>
          <w:color w:val="000000"/>
        </w:rPr>
      </w:pPr>
      <w:r>
        <w:rPr>
          <w:color w:val="000000"/>
        </w:rPr>
        <w:t xml:space="preserve">The machine–detector interface (MDI) region accommodates numerous critical components within a very confined space where access is inherently difficult. Elements such as the interaction-point (IP) beam pipe must allow the collision products to reach the active detector regions with minimal scattering, while simultaneously preventing beam-induced background particles and synchrotron-radiation (SR) photons from producing noise hits. The area also houses the final-focus </w:t>
      </w:r>
      <w:r>
        <w:rPr>
          <w:color w:val="000000"/>
        </w:rPr>
        <w:lastRenderedPageBreak/>
        <w:t>quadrupole magnets, anti-solenoid magnets, beam-position monitors, and luminosity monitors. Together, these components pose significant technical and integration challenges.</w:t>
      </w:r>
    </w:p>
    <w:p w14:paraId="2F144980" w14:textId="036EFCC2" w:rsidR="00194DF9" w:rsidRDefault="00194DF9" w:rsidP="00194DF9">
      <w:pPr>
        <w:pStyle w:val="NormalWeb"/>
        <w:spacing w:line="276" w:lineRule="auto"/>
        <w:jc w:val="both"/>
        <w:rPr>
          <w:color w:val="000000"/>
        </w:rPr>
      </w:pPr>
      <w:r>
        <w:rPr>
          <w:color w:val="000000"/>
        </w:rPr>
        <w:t>The committee commends the proponents for the substantial progress achieved in a relatively short time. The design of the beryllium beam pipe is already at a reasonably mature stage, whereas other aspects—particularly those related to beam-induced background studies—remain in early development. Although the work is not yet complete, the overall progress is sufficient to justify advancing to the next phase including forming the detector collaboration and leading to the engineering design of the full detector.</w:t>
      </w:r>
    </w:p>
    <w:p w14:paraId="3854749D" w14:textId="77777777" w:rsidR="00194DF9" w:rsidRPr="00B72EDC" w:rsidRDefault="00194DF9" w:rsidP="00194DF9">
      <w:pPr>
        <w:pStyle w:val="NormalWeb"/>
        <w:spacing w:line="276" w:lineRule="auto"/>
        <w:jc w:val="both"/>
        <w:rPr>
          <w:rFonts w:ascii="Arial" w:hAnsi="Arial" w:cs="Arial"/>
          <w:color w:val="000000"/>
          <w:sz w:val="28"/>
          <w:szCs w:val="28"/>
        </w:rPr>
      </w:pPr>
      <w:r w:rsidRPr="00B72EDC">
        <w:rPr>
          <w:rStyle w:val="Strong"/>
          <w:rFonts w:ascii="Arial" w:hAnsi="Arial" w:cs="Arial"/>
          <w:color w:val="000000"/>
          <w:sz w:val="28"/>
          <w:szCs w:val="28"/>
        </w:rPr>
        <w:t>Assessment</w:t>
      </w:r>
    </w:p>
    <w:p w14:paraId="64D19C14" w14:textId="507BD21E" w:rsidR="00D05C47" w:rsidRDefault="00D05C47" w:rsidP="00D05C47">
      <w:pPr>
        <w:pStyle w:val="NormalWeb"/>
        <w:spacing w:line="276" w:lineRule="auto"/>
        <w:jc w:val="both"/>
        <w:rPr>
          <w:color w:val="000000"/>
        </w:rPr>
      </w:pPr>
      <w:r>
        <w:rPr>
          <w:color w:val="000000"/>
        </w:rPr>
        <w:t xml:space="preserve">The IP beam pipe employs an actively cooled double wall Be structure, with water as the baseline coolant and paraffin as an alternative. In the case of water cooling, corrosion could pose a concern; however, the use of an anti-corrosion coating—currently under study—is considered adequate at this phase, with paraffin remaining a viable fallback option. The design parameters are challenging, with a 10 mm inner radius and a 20 </w:t>
      </w:r>
      <w:proofErr w:type="spellStart"/>
      <w:r>
        <w:rPr>
          <w:color w:val="000000"/>
        </w:rPr>
        <w:t>μm</w:t>
      </w:r>
      <w:proofErr w:type="spellEnd"/>
      <w:r>
        <w:rPr>
          <w:color w:val="000000"/>
        </w:rPr>
        <w:t xml:space="preserve"> inter-wall gap. The experience gained from BESIII provides valuable precedent for addressing these engineering and operational challenges.</w:t>
      </w:r>
    </w:p>
    <w:p w14:paraId="585DA89F" w14:textId="77777777" w:rsidR="00D05C47" w:rsidRDefault="00D05C47" w:rsidP="00D05C47">
      <w:pPr>
        <w:pStyle w:val="NormalWeb"/>
        <w:spacing w:line="276" w:lineRule="auto"/>
        <w:jc w:val="both"/>
        <w:rPr>
          <w:color w:val="000000"/>
        </w:rPr>
      </w:pPr>
      <w:r>
        <w:rPr>
          <w:color w:val="000000"/>
        </w:rPr>
        <w:t xml:space="preserve">A 10 </w:t>
      </w:r>
      <w:proofErr w:type="spellStart"/>
      <w:r>
        <w:rPr>
          <w:color w:val="000000"/>
        </w:rPr>
        <w:t>μm</w:t>
      </w:r>
      <w:proofErr w:type="spellEnd"/>
      <w:r>
        <w:rPr>
          <w:color w:val="000000"/>
        </w:rPr>
        <w:t xml:space="preserve"> gold coating on the inner surface of the beam pipe has been optimised to reduce X-ray backgrounds. The SR mask near the IP has been studied and found effective in mitigating synchrotron radiation. Analyses of mechanical strength and heat dissipation confirm that the structure operates safely within acceptable limits.</w:t>
      </w:r>
    </w:p>
    <w:p w14:paraId="1C1AB12F" w14:textId="77777777" w:rsidR="00D05C47" w:rsidRDefault="00D05C47" w:rsidP="00D05C47">
      <w:pPr>
        <w:pStyle w:val="NormalWeb"/>
        <w:spacing w:line="276" w:lineRule="auto"/>
        <w:jc w:val="both"/>
        <w:rPr>
          <w:color w:val="000000"/>
        </w:rPr>
      </w:pPr>
      <w:r>
        <w:rPr>
          <w:color w:val="000000"/>
        </w:rPr>
        <w:t xml:space="preserve">Stray-beam backgrounds, including beam–gas scattering, are mitigated through an optimised system of collimators positioned around the ring. Early studies indicate that a carefully designed collimation system can substantially reduce these backgrounds. However, beam–beam–induced backgrounds—particularly pair production from </w:t>
      </w:r>
      <w:proofErr w:type="spellStart"/>
      <w:r>
        <w:rPr>
          <w:color w:val="000000"/>
        </w:rPr>
        <w:t>Beamstrahlung</w:t>
      </w:r>
      <w:proofErr w:type="spellEnd"/>
      <w:r>
        <w:rPr>
          <w:color w:val="000000"/>
        </w:rPr>
        <w:t>—cannot be effectively mitigated by collimators or masks and must be addressed by the MDI design itself. The intensity of these backgrounds is highly sensitive to the beam pipe radius, and potential orbit distortions require careful evaluation. The inclusion of heavy-metal shielding around components near the IP, such as luminosity monitors, has proven effective, although further detailed studies are required to refine the modelling of radiation propagation.</w:t>
      </w:r>
    </w:p>
    <w:p w14:paraId="529642CD" w14:textId="77777777" w:rsidR="00D05C47" w:rsidRDefault="00D05C47" w:rsidP="00D05C47">
      <w:pPr>
        <w:pStyle w:val="NormalWeb"/>
        <w:spacing w:line="276" w:lineRule="auto"/>
        <w:jc w:val="both"/>
        <w:rPr>
          <w:color w:val="000000"/>
        </w:rPr>
      </w:pPr>
      <w:r>
        <w:rPr>
          <w:color w:val="000000"/>
        </w:rPr>
        <w:t>The luminosity, beam steering, and monitoring systems employ state-of-the-art sensor technologies, several of which have already been validated in large-scale experiments. The concepts for the luminosity and beam position detectors are well conceived, and while their implementation introduces several novel aspects, the present design documentation is detailed and adequate for this development stage.</w:t>
      </w:r>
    </w:p>
    <w:p w14:paraId="698D90BB" w14:textId="77777777" w:rsidR="00D05C47" w:rsidRDefault="00D05C47" w:rsidP="00D05C47">
      <w:pPr>
        <w:pStyle w:val="NormalWeb"/>
        <w:spacing w:line="276" w:lineRule="auto"/>
        <w:jc w:val="both"/>
        <w:rPr>
          <w:color w:val="000000"/>
        </w:rPr>
      </w:pPr>
      <w:r>
        <w:rPr>
          <w:color w:val="000000"/>
        </w:rPr>
        <w:lastRenderedPageBreak/>
        <w:t xml:space="preserve">The Fast Lumi detector consists of twelve 2×2 cm² </w:t>
      </w:r>
      <w:proofErr w:type="spellStart"/>
      <w:r>
        <w:rPr>
          <w:color w:val="000000"/>
        </w:rPr>
        <w:t>pCVD</w:t>
      </w:r>
      <w:proofErr w:type="spellEnd"/>
      <w:r>
        <w:rPr>
          <w:color w:val="000000"/>
        </w:rPr>
        <w:t xml:space="preserve"> diamond detectors segmented in both the z and y directions—representing one of the largest planned deployments of diamond sensors for charged-particle detection. Key challenges include the routing of readout lines, ensuring stable and non-polarising electrical contacts, and achieving a sufficiently large dynamic range.</w:t>
      </w:r>
    </w:p>
    <w:p w14:paraId="6FD21721" w14:textId="5786B057" w:rsidR="00D05C47" w:rsidRDefault="00D05C47" w:rsidP="00D05C47">
      <w:pPr>
        <w:pStyle w:val="NormalWeb"/>
        <w:spacing w:line="276" w:lineRule="auto"/>
        <w:jc w:val="both"/>
        <w:rPr>
          <w:color w:val="000000"/>
        </w:rPr>
      </w:pPr>
      <w:r>
        <w:rPr>
          <w:color w:val="000000"/>
        </w:rPr>
        <w:t xml:space="preserve">The </w:t>
      </w:r>
      <w:proofErr w:type="spellStart"/>
      <w:r>
        <w:rPr>
          <w:color w:val="000000"/>
        </w:rPr>
        <w:t>LumiCal</w:t>
      </w:r>
      <w:proofErr w:type="spellEnd"/>
      <w:r>
        <w:rPr>
          <w:color w:val="000000"/>
        </w:rPr>
        <w:t xml:space="preserve"> presents significant challenges in both installation and performance. The detector must meet extremely demanding requirements for spatial resolution and noise suppression, despite operating in a high-radiation environment with limited available space. The proposed silicon sensor technologies involve complex double-sided processing and intricate readout routing, underscoring the innovative and ambitious nature of the design.</w:t>
      </w:r>
    </w:p>
    <w:p w14:paraId="14C696E6" w14:textId="77777777" w:rsidR="00D05C47" w:rsidRDefault="000D4C52" w:rsidP="00D05C47">
      <w:pPr>
        <w:pStyle w:val="NormalWeb"/>
        <w:spacing w:line="276" w:lineRule="auto"/>
        <w:jc w:val="both"/>
        <w:rPr>
          <w:rFonts w:ascii="Arial" w:hAnsi="Arial" w:cs="Arial"/>
          <w:b/>
          <w:bCs/>
          <w:color w:val="000000"/>
          <w:sz w:val="28"/>
          <w:szCs w:val="28"/>
        </w:rPr>
      </w:pPr>
      <w:r w:rsidRPr="00B72EDC">
        <w:rPr>
          <w:rFonts w:ascii="Arial" w:hAnsi="Arial" w:cs="Arial"/>
          <w:b/>
          <w:bCs/>
          <w:color w:val="000000"/>
          <w:sz w:val="28"/>
          <w:szCs w:val="28"/>
        </w:rPr>
        <w:t>Recommendations</w:t>
      </w:r>
    </w:p>
    <w:p w14:paraId="46C5A071" w14:textId="16A29857" w:rsidR="00D05C47" w:rsidRDefault="00D05C47" w:rsidP="00D05C47">
      <w:pPr>
        <w:pStyle w:val="NormalWeb"/>
        <w:numPr>
          <w:ilvl w:val="0"/>
          <w:numId w:val="46"/>
        </w:numPr>
        <w:spacing w:line="276" w:lineRule="auto"/>
        <w:jc w:val="both"/>
        <w:rPr>
          <w:rFonts w:ascii="Arial" w:hAnsi="Arial" w:cs="Arial"/>
          <w:b/>
          <w:bCs/>
          <w:color w:val="000000"/>
          <w:sz w:val="28"/>
          <w:szCs w:val="28"/>
        </w:rPr>
      </w:pPr>
      <w:r>
        <w:t>The committee recommends continuing the study of discrepancies observed between data and simulation from BESIII. Understanding these differences is important for validating the assumptions underlying the CEPC machine–detector interface design.</w:t>
      </w:r>
    </w:p>
    <w:p w14:paraId="795FD4A8" w14:textId="77777777" w:rsidR="00D05C47" w:rsidRDefault="00D05C47" w:rsidP="00D05C47">
      <w:pPr>
        <w:pStyle w:val="NormalWeb"/>
        <w:numPr>
          <w:ilvl w:val="0"/>
          <w:numId w:val="46"/>
        </w:numPr>
        <w:spacing w:line="276" w:lineRule="auto"/>
        <w:jc w:val="both"/>
        <w:rPr>
          <w:rFonts w:ascii="Arial" w:hAnsi="Arial" w:cs="Arial"/>
          <w:b/>
          <w:bCs/>
          <w:color w:val="000000"/>
          <w:sz w:val="28"/>
          <w:szCs w:val="28"/>
        </w:rPr>
      </w:pPr>
      <w:r>
        <w:t>Closer collaboration with the accelerator team should be established to explore the full range of possible beam steering scenarios. This coordination is especially important for refining the design and placement of synchrotron radiation (SR) masks and collimators, ensuring that they remain effective across realistic operational conditions.</w:t>
      </w:r>
    </w:p>
    <w:p w14:paraId="0A762D45" w14:textId="77777777" w:rsidR="00D05C47" w:rsidRDefault="00D05C47" w:rsidP="00D05C47">
      <w:pPr>
        <w:pStyle w:val="NormalWeb"/>
        <w:numPr>
          <w:ilvl w:val="0"/>
          <w:numId w:val="46"/>
        </w:numPr>
        <w:spacing w:line="276" w:lineRule="auto"/>
        <w:jc w:val="both"/>
        <w:rPr>
          <w:rFonts w:ascii="Arial" w:hAnsi="Arial" w:cs="Arial"/>
          <w:b/>
          <w:bCs/>
          <w:color w:val="000000"/>
          <w:sz w:val="28"/>
          <w:szCs w:val="28"/>
        </w:rPr>
      </w:pPr>
      <w:r>
        <w:t>The detailed mechanical design of the region surrounding the IP beam pipe should proceed as a priority, as its geometry and integration will directly impact the layout and feasibility of several adjacent components, including the luminosity monitors, final-focus magnets, and vertex detector. Early completion of this design will help prevent costly downstream revisions.</w:t>
      </w:r>
    </w:p>
    <w:p w14:paraId="761D441D" w14:textId="77777777" w:rsidR="00D05C47" w:rsidRPr="00D05C47" w:rsidRDefault="00D05C47" w:rsidP="002610B9">
      <w:pPr>
        <w:pStyle w:val="NormalWeb"/>
        <w:numPr>
          <w:ilvl w:val="0"/>
          <w:numId w:val="46"/>
        </w:numPr>
        <w:spacing w:before="240" w:after="240" w:line="276" w:lineRule="auto"/>
        <w:jc w:val="both"/>
        <w:rPr>
          <w:b/>
          <w:bCs/>
        </w:rPr>
      </w:pPr>
      <w:r>
        <w:t xml:space="preserve">The current description of the diamond-based Fast Lumi detector in the reference TDR lacks sufficient technical detail. The documentation should be expanded to include the detector architecture, segmentation, readout scheme, and performance expectations, supported by relevant prototype or test-beam results where available. </w:t>
      </w:r>
      <w:bookmarkStart w:id="3" w:name="_g1x02ra4n1f4" w:colFirst="0" w:colLast="0"/>
      <w:bookmarkEnd w:id="3"/>
    </w:p>
    <w:p w14:paraId="0C15B62A" w14:textId="5EC63CF4" w:rsidR="002610B9" w:rsidRPr="00D05C47" w:rsidRDefault="00000000" w:rsidP="00C3496D">
      <w:pPr>
        <w:pStyle w:val="Heading1"/>
      </w:pPr>
      <w:r w:rsidRPr="00D05C47">
        <w:t>Vertex Detector</w:t>
      </w:r>
    </w:p>
    <w:p w14:paraId="1892E8D4" w14:textId="77777777" w:rsidR="00372302" w:rsidRPr="00372302" w:rsidRDefault="00372302" w:rsidP="00372302">
      <w:pPr>
        <w:pStyle w:val="NormalWeb"/>
        <w:spacing w:line="276" w:lineRule="auto"/>
        <w:jc w:val="both"/>
        <w:rPr>
          <w:color w:val="000000"/>
        </w:rPr>
      </w:pPr>
      <w:bookmarkStart w:id="4" w:name="_k1sap5jocdhx" w:colFirst="0" w:colLast="0"/>
      <w:bookmarkEnd w:id="4"/>
      <w:r w:rsidRPr="00372302">
        <w:rPr>
          <w:color w:val="000000"/>
        </w:rPr>
        <w:t xml:space="preserve">The design and technological choices for the vertex detector represent the leading edge of current developments in vertex detector systems. Several innovative and ambitious concepts are being pursued, some of which have yet to be fully demonstrated. The detector is designed so that approximately 99.7% of tracks will register at least five hits, enabling an impact-parameter resolution as good as 2 </w:t>
      </w:r>
      <w:proofErr w:type="spellStart"/>
      <w:r w:rsidRPr="00372302">
        <w:rPr>
          <w:color w:val="000000"/>
        </w:rPr>
        <w:t>μm</w:t>
      </w:r>
      <w:proofErr w:type="spellEnd"/>
      <w:r w:rsidRPr="00372302">
        <w:rPr>
          <w:color w:val="000000"/>
        </w:rPr>
        <w:t xml:space="preserve"> for high-momentum tracks. Achieving this performance requires an exceptionally low total material budget—around 0.5% X₀—which, in turn, necessitates air cooling </w:t>
      </w:r>
      <w:r w:rsidRPr="00372302">
        <w:rPr>
          <w:color w:val="000000"/>
        </w:rPr>
        <w:lastRenderedPageBreak/>
        <w:t xml:space="preserve">with sufficient flow and the use of ultra-thin (~40 </w:t>
      </w:r>
      <w:proofErr w:type="spellStart"/>
      <w:r w:rsidRPr="00372302">
        <w:rPr>
          <w:color w:val="000000"/>
        </w:rPr>
        <w:t>μm</w:t>
      </w:r>
      <w:proofErr w:type="spellEnd"/>
      <w:r w:rsidRPr="00372302">
        <w:rPr>
          <w:color w:val="000000"/>
        </w:rPr>
        <w:t xml:space="preserve">) sensors. The average power density must be kept below 40 </w:t>
      </w:r>
      <w:proofErr w:type="spellStart"/>
      <w:r w:rsidRPr="00372302">
        <w:rPr>
          <w:color w:val="000000"/>
        </w:rPr>
        <w:t>mW</w:t>
      </w:r>
      <w:proofErr w:type="spellEnd"/>
      <w:r w:rsidRPr="00372302">
        <w:rPr>
          <w:color w:val="000000"/>
        </w:rPr>
        <w:t>/cm².</w:t>
      </w:r>
    </w:p>
    <w:p w14:paraId="56FAC3DD" w14:textId="77777777" w:rsidR="00372302" w:rsidRPr="00B72EDC" w:rsidRDefault="00372302" w:rsidP="00372302">
      <w:pPr>
        <w:pStyle w:val="NormalWeb"/>
        <w:spacing w:line="276" w:lineRule="auto"/>
        <w:jc w:val="both"/>
        <w:rPr>
          <w:rFonts w:ascii="Arial" w:hAnsi="Arial" w:cs="Arial"/>
          <w:color w:val="000000"/>
          <w:sz w:val="28"/>
          <w:szCs w:val="28"/>
        </w:rPr>
      </w:pPr>
      <w:r w:rsidRPr="00B72EDC">
        <w:rPr>
          <w:rStyle w:val="Strong"/>
          <w:rFonts w:ascii="Arial" w:hAnsi="Arial" w:cs="Arial"/>
          <w:color w:val="000000"/>
          <w:sz w:val="28"/>
          <w:szCs w:val="28"/>
        </w:rPr>
        <w:t>Assessment</w:t>
      </w:r>
    </w:p>
    <w:p w14:paraId="6D38CDA0" w14:textId="77777777" w:rsidR="00372302" w:rsidRPr="00372302" w:rsidRDefault="00372302" w:rsidP="00372302">
      <w:pPr>
        <w:pStyle w:val="NormalWeb"/>
        <w:spacing w:line="276" w:lineRule="auto"/>
        <w:jc w:val="both"/>
        <w:rPr>
          <w:color w:val="000000"/>
        </w:rPr>
      </w:pPr>
      <w:r w:rsidRPr="00372302">
        <w:rPr>
          <w:color w:val="000000"/>
        </w:rPr>
        <w:t>The baseline vertex detector consists of two subsystems. The innermost four layers employ curved Monolithic Active Pixel Sensors (MAPS) using wafer stitching (CVTX), while the two outermost layers (5 and 6) adopt a more conventional ladder design with non-stitched MAPS (PVTX) mounted on both sides of the ladder. Some of the most demanding requirements for the vertex detector—such as timing precision and data throughput—have been moderated by prioritizing operation at low-luminosity Z and Higgs running modes, thereby relaxing the constraints that would apply at very high luminosity.</w:t>
      </w:r>
    </w:p>
    <w:p w14:paraId="373552E2" w14:textId="77777777" w:rsidR="00372302" w:rsidRPr="00372302" w:rsidRDefault="00372302" w:rsidP="00372302">
      <w:pPr>
        <w:pStyle w:val="NormalWeb"/>
        <w:spacing w:line="276" w:lineRule="auto"/>
        <w:jc w:val="both"/>
        <w:rPr>
          <w:color w:val="000000"/>
        </w:rPr>
      </w:pPr>
      <w:r w:rsidRPr="00372302">
        <w:rPr>
          <w:color w:val="000000"/>
        </w:rPr>
        <w:t>The Vertex chapter is clearly written and comprehensive at this stage. It effectively outlines the physics requirements, presents the proposed technologies, and details the conceptual detector design. The CVTX concept builds upon recent advances from comparable projects (e.g., ALICE ITS-3) and even extends key performance parameters such as hit rate and achievable bending radius beyond current benchmarks. The work plan for the coming years is well defined, covering studies of background rates, development of readout electronics, power and data services, mechanical design, and integration with the machine–detector interface.</w:t>
      </w:r>
    </w:p>
    <w:p w14:paraId="13B98730" w14:textId="119B1798" w:rsidR="00372302" w:rsidRPr="00372302" w:rsidRDefault="00372302" w:rsidP="00372302">
      <w:pPr>
        <w:pStyle w:val="NormalWeb"/>
        <w:spacing w:line="276" w:lineRule="auto"/>
        <w:jc w:val="both"/>
        <w:rPr>
          <w:color w:val="000000"/>
        </w:rPr>
      </w:pPr>
      <w:r w:rsidRPr="00372302">
        <w:rPr>
          <w:color w:val="000000"/>
        </w:rPr>
        <w:t>Potential risks beyond the immediate control of the collaboration—such as access to specific fabrication technologies—are recognized and mitigated through credible fallback options. The planar vertex system (PVTX) is already well advanced, supported by extensive prototyping that has demonstrated compliance with most performance requirements, aside from power consumption, which remains technology limited. In parallel, PVTX development provides a robust backup in case the technical challenges associated with CVTX prove insurmountable. An all-ladder vertex configuration would still satisfy the physics performance goals, albeit with a modest degradation in precision.</w:t>
      </w:r>
    </w:p>
    <w:p w14:paraId="4F84032B" w14:textId="77777777" w:rsidR="00372302" w:rsidRPr="00372302" w:rsidRDefault="00372302" w:rsidP="00372302">
      <w:pPr>
        <w:pStyle w:val="NormalWeb"/>
        <w:spacing w:line="276" w:lineRule="auto"/>
        <w:jc w:val="both"/>
        <w:rPr>
          <w:color w:val="000000"/>
        </w:rPr>
      </w:pPr>
      <w:r w:rsidRPr="00372302">
        <w:rPr>
          <w:color w:val="000000"/>
        </w:rPr>
        <w:t xml:space="preserve">The most critical challenges for realizing the baseline design include achieving adequate cooling capacity while maintaining mechanical stability, ensuring small bending radii for the CVTX modules and their mechanical supports, implementing complex power and data transmission systems that sustain high data rates, and securing access to the baseline sensor process at </w:t>
      </w:r>
      <w:proofErr w:type="spellStart"/>
      <w:r w:rsidRPr="00372302">
        <w:rPr>
          <w:color w:val="000000"/>
        </w:rPr>
        <w:t>TPSCo</w:t>
      </w:r>
      <w:proofErr w:type="spellEnd"/>
      <w:r w:rsidRPr="00372302">
        <w:rPr>
          <w:color w:val="000000"/>
        </w:rPr>
        <w:t xml:space="preserve"> 65 nm.</w:t>
      </w:r>
    </w:p>
    <w:p w14:paraId="167A7472" w14:textId="77777777" w:rsidR="00372302" w:rsidRPr="00372302" w:rsidRDefault="00372302" w:rsidP="00372302">
      <w:pPr>
        <w:pStyle w:val="NormalWeb"/>
        <w:spacing w:line="276" w:lineRule="auto"/>
        <w:jc w:val="both"/>
        <w:rPr>
          <w:color w:val="000000"/>
        </w:rPr>
      </w:pPr>
      <w:r w:rsidRPr="00372302">
        <w:rPr>
          <w:color w:val="000000"/>
        </w:rPr>
        <w:t>In summary, the vertex detector design has reached an advanced level of technological readiness. Although the chosen technologies are at the cutting edge and not yet demonstrated in large-scale experiments, the combination of an intensive R&amp;D program, collaboration with related projects, and the experience gained from previous detector developments provides confidence that the stated goals are achievable.</w:t>
      </w:r>
    </w:p>
    <w:p w14:paraId="72D1FB7F" w14:textId="77777777" w:rsidR="00372302" w:rsidRPr="00B72EDC" w:rsidRDefault="00372302" w:rsidP="00372302">
      <w:pPr>
        <w:pStyle w:val="NormalWeb"/>
        <w:spacing w:line="276" w:lineRule="auto"/>
        <w:jc w:val="both"/>
        <w:rPr>
          <w:rFonts w:ascii="Arial" w:hAnsi="Arial" w:cs="Arial"/>
          <w:color w:val="000000"/>
          <w:sz w:val="28"/>
          <w:szCs w:val="28"/>
        </w:rPr>
      </w:pPr>
      <w:r w:rsidRPr="00B72EDC">
        <w:rPr>
          <w:rStyle w:val="Strong"/>
          <w:rFonts w:ascii="Arial" w:hAnsi="Arial" w:cs="Arial"/>
          <w:color w:val="000000"/>
          <w:sz w:val="28"/>
          <w:szCs w:val="28"/>
        </w:rPr>
        <w:lastRenderedPageBreak/>
        <w:t>Recommendations</w:t>
      </w:r>
    </w:p>
    <w:p w14:paraId="439CA8EA" w14:textId="77777777" w:rsidR="00372302" w:rsidRDefault="00372302" w:rsidP="00372302">
      <w:pPr>
        <w:pStyle w:val="NormalWeb"/>
        <w:numPr>
          <w:ilvl w:val="0"/>
          <w:numId w:val="19"/>
        </w:numPr>
        <w:spacing w:line="276" w:lineRule="auto"/>
        <w:jc w:val="both"/>
        <w:rPr>
          <w:color w:val="000000"/>
        </w:rPr>
      </w:pPr>
      <w:r w:rsidRPr="00372302">
        <w:rPr>
          <w:color w:val="000000"/>
        </w:rPr>
        <w:t>The committee commends the inclusion of a laser alignment system, which will enable continuous monitoring of mechanical deformations of the vertex detector. It is recommended to construct an early demonstrator that incorporates this feature and reflects the realistic properties of the sensors.</w:t>
      </w:r>
    </w:p>
    <w:p w14:paraId="33126F80" w14:textId="77777777" w:rsidR="00372302" w:rsidRDefault="00372302" w:rsidP="00372302">
      <w:pPr>
        <w:pStyle w:val="NormalWeb"/>
        <w:numPr>
          <w:ilvl w:val="0"/>
          <w:numId w:val="19"/>
        </w:numPr>
        <w:spacing w:line="276" w:lineRule="auto"/>
        <w:jc w:val="both"/>
        <w:rPr>
          <w:color w:val="000000"/>
        </w:rPr>
      </w:pPr>
      <w:r w:rsidRPr="00372302">
        <w:rPr>
          <w:color w:val="000000"/>
        </w:rPr>
        <w:t>The calculations for cooling performance (required flow rate and pressure drop) should be revisited, taking into account the non-uniform nature of heat dissipation. Building a detailed and realistic thermal mock-up will be essential.</w:t>
      </w:r>
    </w:p>
    <w:p w14:paraId="6C30DFD0" w14:textId="77777777" w:rsidR="00372302" w:rsidRDefault="00372302" w:rsidP="00372302">
      <w:pPr>
        <w:pStyle w:val="NormalWeb"/>
        <w:numPr>
          <w:ilvl w:val="0"/>
          <w:numId w:val="19"/>
        </w:numPr>
        <w:spacing w:line="276" w:lineRule="auto"/>
        <w:jc w:val="both"/>
        <w:rPr>
          <w:color w:val="000000"/>
        </w:rPr>
      </w:pPr>
      <w:r w:rsidRPr="00372302">
        <w:rPr>
          <w:color w:val="000000"/>
        </w:rPr>
        <w:t>The design of power and data lines across the Readout Support Units (RSUs) must ensure sufficient shielding to minimize electromagnetic pickup.</w:t>
      </w:r>
    </w:p>
    <w:p w14:paraId="2E093FF8" w14:textId="77777777" w:rsidR="00D209D9" w:rsidRDefault="00372302" w:rsidP="00D209D9">
      <w:pPr>
        <w:pStyle w:val="NormalWeb"/>
        <w:numPr>
          <w:ilvl w:val="0"/>
          <w:numId w:val="19"/>
        </w:numPr>
        <w:spacing w:line="276" w:lineRule="auto"/>
        <w:jc w:val="both"/>
        <w:rPr>
          <w:color w:val="000000"/>
        </w:rPr>
      </w:pPr>
      <w:r w:rsidRPr="00372302">
        <w:rPr>
          <w:color w:val="000000"/>
        </w:rPr>
        <w:t xml:space="preserve">Finally, the expected radiation fluence of approximately 2 × 10¹⁴ </w:t>
      </w:r>
      <w:proofErr w:type="spellStart"/>
      <w:r w:rsidRPr="00372302">
        <w:rPr>
          <w:color w:val="000000"/>
        </w:rPr>
        <w:t>nₑ</w:t>
      </w:r>
      <w:r w:rsidRPr="008863FE">
        <w:rPr>
          <w:color w:val="000000"/>
          <w:vertAlign w:val="subscript"/>
        </w:rPr>
        <w:t>q</w:t>
      </w:r>
      <w:proofErr w:type="spellEnd"/>
      <w:r w:rsidRPr="00372302">
        <w:rPr>
          <w:color w:val="000000"/>
        </w:rPr>
        <w:t>/cm² is significant for unbiased substrates relying on diffusion charge collection and could strongly impact operation. Since the ITS-3 project faces nearly an order of magnitude lower requirement, dedicated irradiation studies should be undertaken without delay. If substrate biasing proves necessary, the power-service design—particularly at the front-end boards—will need to be adapted accordingly.</w:t>
      </w:r>
    </w:p>
    <w:p w14:paraId="7F6AF921" w14:textId="50357653" w:rsidR="00556DE5" w:rsidRPr="00C3496D" w:rsidRDefault="00000000" w:rsidP="00C3496D">
      <w:pPr>
        <w:pStyle w:val="Heading1"/>
      </w:pPr>
      <w:r w:rsidRPr="00C3496D">
        <w:t>Si</w:t>
      </w:r>
      <w:r w:rsidR="003D7B00" w:rsidRPr="00C3496D">
        <w:t>li</w:t>
      </w:r>
      <w:r w:rsidRPr="00C3496D">
        <w:t>con Trackers</w:t>
      </w:r>
    </w:p>
    <w:p w14:paraId="20FC64C9" w14:textId="575E1C29" w:rsidR="00D209D9" w:rsidRPr="00D209D9" w:rsidRDefault="00D209D9" w:rsidP="00D209D9">
      <w:pPr>
        <w:pStyle w:val="NormalWeb"/>
        <w:spacing w:line="276" w:lineRule="auto"/>
        <w:jc w:val="both"/>
        <w:rPr>
          <w:color w:val="000000"/>
        </w:rPr>
      </w:pPr>
      <w:r>
        <w:rPr>
          <w:color w:val="000000"/>
        </w:rPr>
        <w:t>The collaboration has effectively implemented the feedback provided in the previous review. The Ref-TDR sections have been simplified and reorganized to enhance clarity and readability. Alternative designs—such as the CMOS strip option for the ITK endcap—have been removed from the baseline description, ensuring that resources are concentrated on the HV-CMOS pixel and AC-LGAD technologies identified as the primary detector solutions. In addition, R&amp;D activities are now more clearly structured and systematically integrated into the “Future Plans” section.</w:t>
      </w:r>
    </w:p>
    <w:p w14:paraId="6294EA11" w14:textId="3A3EFADF" w:rsidR="00556DE5" w:rsidRPr="009D6F51" w:rsidRDefault="00000000" w:rsidP="009D6F51">
      <w:pPr>
        <w:pStyle w:val="NormalWeb"/>
        <w:spacing w:line="276" w:lineRule="auto"/>
        <w:jc w:val="both"/>
        <w:rPr>
          <w:rFonts w:ascii="Arial" w:hAnsi="Arial" w:cs="Arial"/>
          <w:color w:val="000000"/>
          <w:sz w:val="28"/>
          <w:szCs w:val="28"/>
        </w:rPr>
      </w:pPr>
      <w:r w:rsidRPr="00B72EDC">
        <w:rPr>
          <w:b/>
          <w:sz w:val="28"/>
          <w:szCs w:val="28"/>
        </w:rPr>
        <w:t xml:space="preserve">ITK </w:t>
      </w:r>
      <w:r w:rsidR="009D6F51" w:rsidRPr="00B72EDC">
        <w:rPr>
          <w:rStyle w:val="Strong"/>
          <w:rFonts w:ascii="Arial" w:hAnsi="Arial" w:cs="Arial"/>
          <w:color w:val="000000"/>
          <w:sz w:val="28"/>
          <w:szCs w:val="28"/>
        </w:rPr>
        <w:t>Assessment</w:t>
      </w:r>
    </w:p>
    <w:p w14:paraId="2D36978D" w14:textId="77777777" w:rsidR="009D6F51" w:rsidRDefault="009D6F51" w:rsidP="009D6F51">
      <w:pPr>
        <w:pStyle w:val="NormalWeb"/>
        <w:spacing w:line="276" w:lineRule="auto"/>
        <w:jc w:val="both"/>
        <w:rPr>
          <w:color w:val="000000"/>
        </w:rPr>
      </w:pPr>
      <w:r>
        <w:rPr>
          <w:color w:val="000000"/>
        </w:rPr>
        <w:t>A new prototype of the HV-CMOS pixel sensor for the ITK, the COFFEE3 chip, was fabricated following its submission in January 2025 and delivery in May. It is now undergoing a comprehensive test campaign to verify compliance with design specifications. Several key building blocks—including the passive diode arrays, PLL, CSA and comparator, in-pixel TDC, DLL, and LVDS drivers—have been successfully validated, with no functional issues identified.</w:t>
      </w:r>
    </w:p>
    <w:p w14:paraId="2260B578" w14:textId="77777777" w:rsidR="009D6F51" w:rsidRDefault="009D6F51" w:rsidP="009D6F51">
      <w:pPr>
        <w:pStyle w:val="NormalWeb"/>
        <w:spacing w:line="276" w:lineRule="auto"/>
        <w:jc w:val="both"/>
        <w:rPr>
          <w:color w:val="000000"/>
        </w:rPr>
      </w:pPr>
      <w:r>
        <w:rPr>
          <w:color w:val="000000"/>
        </w:rPr>
        <w:t xml:space="preserve">The stave and endcap mechanical designs have also been refined, achieving in-sensor thermal gradients below 5 °C at a power density of approximately 200 </w:t>
      </w:r>
      <w:proofErr w:type="spellStart"/>
      <w:r>
        <w:rPr>
          <w:color w:val="000000"/>
        </w:rPr>
        <w:t>mW</w:t>
      </w:r>
      <w:proofErr w:type="spellEnd"/>
      <w:r>
        <w:rPr>
          <w:color w:val="000000"/>
        </w:rPr>
        <w:t xml:space="preserve">/cm². The integration of carbon fleece and graphite foil has improved both structural stiffness and thermal performance. In parallel, </w:t>
      </w:r>
      <w:r>
        <w:rPr>
          <w:color w:val="000000"/>
        </w:rPr>
        <w:lastRenderedPageBreak/>
        <w:t>R&amp;D on CO₂-based cooling has begun in collaboration with a new partner institute, although water remains the baseline coolant.</w:t>
      </w:r>
    </w:p>
    <w:p w14:paraId="3649F9AD" w14:textId="77777777" w:rsidR="009D6F51" w:rsidRPr="00D209D9" w:rsidRDefault="009D6F51" w:rsidP="009D6F51">
      <w:pPr>
        <w:jc w:val="both"/>
        <w:rPr>
          <w:b/>
        </w:rPr>
      </w:pPr>
      <w:r w:rsidRPr="00D209D9">
        <w:rPr>
          <w:color w:val="000000"/>
        </w:rPr>
        <w:t>At this stage, COFFEE3 testing has been limited to bench-level characterization of individual functional blocks. A full validation of detector performance—including spatial hit efficiency, resolution, and timing—through dedicated beam tests, is still pending.</w:t>
      </w:r>
    </w:p>
    <w:p w14:paraId="763080FF" w14:textId="77777777" w:rsidR="009D6F51" w:rsidRDefault="009D6F51" w:rsidP="009D6F51">
      <w:pPr>
        <w:pStyle w:val="NormalWeb"/>
        <w:spacing w:line="276" w:lineRule="auto"/>
        <w:jc w:val="both"/>
        <w:rPr>
          <w:color w:val="000000"/>
        </w:rPr>
      </w:pPr>
      <w:r>
        <w:rPr>
          <w:color w:val="000000"/>
        </w:rPr>
        <w:t>While the collaboration has made notable progress in refining the thermal design through detailed simulations, experimental validation via a thermomechanical mock-up has not yet been reported. Such a prototype will be essential to confirm cooling efficiency and mechanical stability under realistic operating conditions. Furthermore, although CO₂ cooling has been introduced as an alternative to water, its quantitative benefits—particularly regarding thermal uniformity and material budget—have yet to be demonstrated.</w:t>
      </w:r>
    </w:p>
    <w:p w14:paraId="218DCE81" w14:textId="3A1F2686" w:rsidR="00DE476A" w:rsidRPr="009F3CBC" w:rsidRDefault="00DE476A" w:rsidP="00DE476A">
      <w:pPr>
        <w:pStyle w:val="Heading3"/>
        <w:rPr>
          <w:b/>
          <w:bCs/>
          <w:color w:val="000000"/>
        </w:rPr>
      </w:pPr>
      <w:r w:rsidRPr="009F3CBC">
        <w:rPr>
          <w:b/>
          <w:bCs/>
          <w:color w:val="000000"/>
        </w:rPr>
        <w:t xml:space="preserve">ITK Recommendations </w:t>
      </w:r>
    </w:p>
    <w:p w14:paraId="7525C7BB" w14:textId="4294A2C8" w:rsidR="00F25193" w:rsidRDefault="00F25193" w:rsidP="00F25193">
      <w:pPr>
        <w:pStyle w:val="NormalWeb"/>
        <w:numPr>
          <w:ilvl w:val="0"/>
          <w:numId w:val="21"/>
        </w:numPr>
        <w:spacing w:line="276" w:lineRule="auto"/>
        <w:jc w:val="both"/>
        <w:rPr>
          <w:color w:val="000000"/>
        </w:rPr>
      </w:pPr>
      <w:r>
        <w:rPr>
          <w:color w:val="000000"/>
        </w:rPr>
        <w:t>Complete characterisation of the COFFEE ASICs remains a high priority. While functional validation of COFFEE3 has confirmed the operation of key building blocks, a systematic programme of laboratory tests, radioactive-source studies, and beam campaigns is still required to demonstrate full detector performance. This is essential for validating the ITK baseline technology and guiding the design of subsequent ASIC generations.</w:t>
      </w:r>
    </w:p>
    <w:p w14:paraId="456C4526" w14:textId="37B0F895" w:rsidR="00F25193" w:rsidRDefault="00F25193" w:rsidP="00F25193">
      <w:pPr>
        <w:pStyle w:val="NormalWeb"/>
        <w:numPr>
          <w:ilvl w:val="0"/>
          <w:numId w:val="21"/>
        </w:numPr>
        <w:spacing w:line="276" w:lineRule="auto"/>
        <w:jc w:val="both"/>
        <w:rPr>
          <w:color w:val="000000"/>
        </w:rPr>
      </w:pPr>
      <w:r>
        <w:rPr>
          <w:color w:val="000000"/>
        </w:rPr>
        <w:t>A comprehensive COFFEE ASIC development roadmap should be defined, including a detailed and realistic schedule covering testing, redesign, and fabrication steps, to ensure timely achievement of key milestones and transparent progress tracking.</w:t>
      </w:r>
    </w:p>
    <w:p w14:paraId="4082BE61" w14:textId="77777777" w:rsidR="00F25193" w:rsidRDefault="00F25193" w:rsidP="00F25193">
      <w:pPr>
        <w:pStyle w:val="NormalWeb"/>
        <w:numPr>
          <w:ilvl w:val="0"/>
          <w:numId w:val="21"/>
        </w:numPr>
        <w:spacing w:line="276" w:lineRule="auto"/>
        <w:jc w:val="both"/>
        <w:rPr>
          <w:color w:val="000000"/>
        </w:rPr>
      </w:pPr>
      <w:r>
        <w:rPr>
          <w:color w:val="000000"/>
        </w:rPr>
        <w:t>The evolution of the COFFEE ASIC family must address the limitations of the current N-MOS–only readout. A timely decision on adopting a quadruple-well technology to allow both N-MOS and P-MOS devices is crucial, given the short submission timeline.</w:t>
      </w:r>
    </w:p>
    <w:p w14:paraId="1BE4C9B9" w14:textId="4AF55320" w:rsidR="00F25193" w:rsidRPr="00F25193" w:rsidRDefault="00F25193" w:rsidP="00F25193">
      <w:pPr>
        <w:pStyle w:val="NormalWeb"/>
        <w:numPr>
          <w:ilvl w:val="0"/>
          <w:numId w:val="21"/>
        </w:numPr>
        <w:spacing w:line="276" w:lineRule="auto"/>
        <w:jc w:val="both"/>
        <w:rPr>
          <w:color w:val="000000"/>
        </w:rPr>
      </w:pPr>
      <w:r w:rsidRPr="00F25193">
        <w:rPr>
          <w:color w:val="000000"/>
        </w:rPr>
        <w:t xml:space="preserve"> Elongated diode structures, omitted from COFFEE2 due to process constraints, remain an important design goal for achieving the required position resolution. The feasibility of implementing these structures in future submissions should be clarified.</w:t>
      </w:r>
    </w:p>
    <w:p w14:paraId="331B72BC" w14:textId="718E2DDC" w:rsidR="00F25193" w:rsidRDefault="00F25193" w:rsidP="00F25193">
      <w:pPr>
        <w:pStyle w:val="NormalWeb"/>
        <w:numPr>
          <w:ilvl w:val="0"/>
          <w:numId w:val="21"/>
        </w:numPr>
        <w:spacing w:line="276" w:lineRule="auto"/>
        <w:jc w:val="both"/>
        <w:rPr>
          <w:color w:val="000000"/>
        </w:rPr>
      </w:pPr>
      <w:r>
        <w:rPr>
          <w:color w:val="000000"/>
        </w:rPr>
        <w:t>The transition toward per-pixel TDC architectures for time stamping is innovative but significantly impacts the data-readout design. Maintaining continuity of personnel and expertise across ASIC generations will be critical to ensure design consistency and effective knowledge transfer.</w:t>
      </w:r>
    </w:p>
    <w:p w14:paraId="3D40BB1D" w14:textId="7FA5D36C" w:rsidR="00F25193" w:rsidRPr="00F25193" w:rsidRDefault="00F25193" w:rsidP="00F25193">
      <w:pPr>
        <w:pStyle w:val="NormalWeb"/>
        <w:numPr>
          <w:ilvl w:val="0"/>
          <w:numId w:val="21"/>
        </w:numPr>
        <w:spacing w:line="276" w:lineRule="auto"/>
        <w:jc w:val="both"/>
        <w:rPr>
          <w:color w:val="000000"/>
        </w:rPr>
      </w:pPr>
      <w:r>
        <w:rPr>
          <w:color w:val="000000"/>
        </w:rPr>
        <w:t>A dedicated thermomechanical mock-up of the stave and endcap structures should be developed and tested to experimentally verify the cooling system’s performance and mechanical stability under realistic operating conditions. This is essential both for validating thermal simulations and for quantitatively comparing water and CO₂ cooling strategies.</w:t>
      </w:r>
    </w:p>
    <w:p w14:paraId="6952A44A" w14:textId="77777777" w:rsidR="009D6F51" w:rsidRDefault="009D6F51">
      <w:pPr>
        <w:jc w:val="both"/>
        <w:rPr>
          <w:b/>
          <w:sz w:val="28"/>
          <w:szCs w:val="28"/>
        </w:rPr>
      </w:pPr>
    </w:p>
    <w:p w14:paraId="6C222662" w14:textId="37E50829" w:rsidR="00556DE5" w:rsidRPr="009F3CBC" w:rsidRDefault="00000000">
      <w:pPr>
        <w:jc w:val="both"/>
        <w:rPr>
          <w:b/>
          <w:sz w:val="28"/>
          <w:szCs w:val="28"/>
        </w:rPr>
      </w:pPr>
      <w:r w:rsidRPr="009F3CBC">
        <w:rPr>
          <w:b/>
          <w:sz w:val="28"/>
          <w:szCs w:val="28"/>
        </w:rPr>
        <w:lastRenderedPageBreak/>
        <w:t xml:space="preserve">OTK </w:t>
      </w:r>
      <w:r w:rsidR="00C03ABE">
        <w:rPr>
          <w:rStyle w:val="Strong"/>
          <w:rFonts w:ascii="Arial" w:hAnsi="Arial" w:cs="Arial"/>
          <w:color w:val="000000"/>
          <w:sz w:val="28"/>
          <w:szCs w:val="28"/>
        </w:rPr>
        <w:t>A</w:t>
      </w:r>
      <w:r w:rsidR="00C03ABE" w:rsidRPr="00B72EDC">
        <w:rPr>
          <w:rStyle w:val="Strong"/>
          <w:rFonts w:ascii="Arial" w:hAnsi="Arial" w:cs="Arial"/>
          <w:color w:val="000000"/>
          <w:sz w:val="28"/>
          <w:szCs w:val="28"/>
        </w:rPr>
        <w:t>ssessment</w:t>
      </w:r>
    </w:p>
    <w:p w14:paraId="482E5106" w14:textId="77777777" w:rsidR="009D6F51" w:rsidRDefault="009D6F51" w:rsidP="009D6F51">
      <w:pPr>
        <w:pStyle w:val="NormalWeb"/>
        <w:spacing w:line="276" w:lineRule="auto"/>
        <w:jc w:val="both"/>
        <w:rPr>
          <w:color w:val="000000"/>
        </w:rPr>
      </w:pPr>
      <w:r>
        <w:rPr>
          <w:color w:val="000000"/>
        </w:rPr>
        <w:t>Significant progress has been achieved on the AC-LGAD strip sensors since the previous review. The latest prototype, submitted in March 2025, systematically explores variations in strip length (1–4 cm), pitch (100–500 µm), and electrode width (25–100 µm), together with alternative isolation structures and optimised epitaxial thicknesses, aiming to reduce capacitance and enhance spatial resolution.</w:t>
      </w:r>
    </w:p>
    <w:p w14:paraId="33E72AD9" w14:textId="77777777" w:rsidR="009D6F51" w:rsidRDefault="009D6F51" w:rsidP="009D6F51">
      <w:pPr>
        <w:pStyle w:val="NormalWeb"/>
        <w:spacing w:line="276" w:lineRule="auto"/>
        <w:jc w:val="both"/>
        <w:rPr>
          <w:color w:val="000000"/>
        </w:rPr>
      </w:pPr>
      <w:r>
        <w:rPr>
          <w:color w:val="000000"/>
        </w:rPr>
        <w:t xml:space="preserve">In parallel, major milestones have been reached in the development of the dedicated LATRIC readout ASIC. The first prototype, LATRIC-V0, received in August, has been wire-bonded and tested, demonstrating a TDC least significant bit (LSB) below the 30 </w:t>
      </w:r>
      <w:proofErr w:type="spellStart"/>
      <w:r>
        <w:rPr>
          <w:color w:val="000000"/>
        </w:rPr>
        <w:t>ps</w:t>
      </w:r>
      <w:proofErr w:type="spellEnd"/>
      <w:r>
        <w:rPr>
          <w:color w:val="000000"/>
        </w:rPr>
        <w:t xml:space="preserve"> design target and a power consumption consistent with simulations.</w:t>
      </w:r>
    </w:p>
    <w:p w14:paraId="46638E3D" w14:textId="1A2610A8" w:rsidR="009D6F51" w:rsidRDefault="009D6F51" w:rsidP="009D6F51">
      <w:pPr>
        <w:pStyle w:val="NormalWeb"/>
        <w:spacing w:line="276" w:lineRule="auto"/>
        <w:jc w:val="both"/>
        <w:rPr>
          <w:color w:val="000000"/>
        </w:rPr>
      </w:pPr>
      <w:r>
        <w:rPr>
          <w:color w:val="000000"/>
        </w:rPr>
        <w:t>Testing of LATRIC-V0 has so far been limited to basic electrical validation. More extensive performance characterization, particularly in combination with AC-LGAD sensors, remains necessary. Reliable operation under realistic conditions—including high hit rates—will be a key milestone.</w:t>
      </w:r>
    </w:p>
    <w:p w14:paraId="765E27F3" w14:textId="152F9C73" w:rsidR="009D6F51" w:rsidRDefault="009D6F51" w:rsidP="009D6F51">
      <w:pPr>
        <w:pStyle w:val="NormalWeb"/>
        <w:spacing w:line="276" w:lineRule="auto"/>
        <w:jc w:val="both"/>
        <w:rPr>
          <w:color w:val="000000"/>
        </w:rPr>
      </w:pPr>
      <w:r>
        <w:rPr>
          <w:color w:val="000000"/>
        </w:rPr>
        <w:t>Experimental validation of the cooling performance is also pending, as no thermomechanical mock-up has yet been reported. As in the ITK case, quantitative benchmarking of CO₂ versus water cooling remains necessary to assess the potential benefits of the CO₂ option in terms of thermal uniformity and material budget.</w:t>
      </w:r>
    </w:p>
    <w:p w14:paraId="73181FD2" w14:textId="582E1825" w:rsidR="00E55FAD" w:rsidRPr="009F3CBC" w:rsidRDefault="00E55FAD" w:rsidP="00E55FAD">
      <w:pPr>
        <w:pStyle w:val="Heading3"/>
        <w:rPr>
          <w:b/>
          <w:bCs/>
          <w:color w:val="000000"/>
        </w:rPr>
      </w:pPr>
      <w:r w:rsidRPr="009F3CBC">
        <w:rPr>
          <w:b/>
          <w:bCs/>
          <w:color w:val="000000"/>
        </w:rPr>
        <w:t xml:space="preserve">OTK Recommendations </w:t>
      </w:r>
    </w:p>
    <w:p w14:paraId="21724BB8" w14:textId="77777777" w:rsidR="007264B8" w:rsidRDefault="007264B8" w:rsidP="007264B8">
      <w:pPr>
        <w:pStyle w:val="NormalWeb"/>
        <w:numPr>
          <w:ilvl w:val="0"/>
          <w:numId w:val="56"/>
        </w:numPr>
        <w:spacing w:line="276" w:lineRule="auto"/>
        <w:jc w:val="both"/>
        <w:rPr>
          <w:color w:val="000000"/>
        </w:rPr>
      </w:pPr>
      <w:bookmarkStart w:id="5" w:name="_sx0xdbsx0048" w:colFirst="0" w:colLast="0"/>
      <w:bookmarkEnd w:id="5"/>
      <w:r>
        <w:rPr>
          <w:color w:val="000000"/>
        </w:rPr>
        <w:t>Complete characterisation of the AC-LGAD sensors wire-bonded to the LATRIC ASIC remains a high priority. Integrated testing under realistic operating conditions will be essential to establish detector performance in terms of timing and spatial resolution, hit efficiency, noise, and power consumption.</w:t>
      </w:r>
    </w:p>
    <w:p w14:paraId="5E479118" w14:textId="77777777" w:rsidR="007264B8" w:rsidRDefault="007264B8" w:rsidP="007264B8">
      <w:pPr>
        <w:pStyle w:val="NormalWeb"/>
        <w:numPr>
          <w:ilvl w:val="0"/>
          <w:numId w:val="56"/>
        </w:numPr>
        <w:spacing w:line="276" w:lineRule="auto"/>
        <w:jc w:val="both"/>
        <w:rPr>
          <w:color w:val="000000"/>
        </w:rPr>
      </w:pPr>
      <w:r w:rsidRPr="007264B8">
        <w:rPr>
          <w:color w:val="000000"/>
        </w:rPr>
        <w:t>A comprehensive LATRIC ASIC development roadmap should be defined, including a detailed and realistic schedule covering iterative design, testing, and validation steps leading to the final multi-channel version. This plan should also include auxiliary front-end and back-end electronics to ensure system-level readiness.</w:t>
      </w:r>
    </w:p>
    <w:p w14:paraId="7C632BF4" w14:textId="77777777" w:rsidR="007264B8" w:rsidRDefault="007264B8" w:rsidP="007264B8">
      <w:pPr>
        <w:pStyle w:val="NormalWeb"/>
        <w:numPr>
          <w:ilvl w:val="0"/>
          <w:numId w:val="56"/>
        </w:numPr>
        <w:spacing w:line="276" w:lineRule="auto"/>
        <w:jc w:val="both"/>
        <w:rPr>
          <w:color w:val="000000"/>
        </w:rPr>
      </w:pPr>
      <w:r w:rsidRPr="007264B8">
        <w:rPr>
          <w:color w:val="000000"/>
        </w:rPr>
        <w:t>The highly non-uniform heat dissipation, dominated by the LATRIC ASIC region, should be carefully evaluated for its implications on mechanical design, service routing, and overall detector stability.</w:t>
      </w:r>
    </w:p>
    <w:p w14:paraId="78973986" w14:textId="77777777" w:rsidR="007264B8" w:rsidRDefault="007264B8" w:rsidP="007264B8">
      <w:pPr>
        <w:pStyle w:val="NormalWeb"/>
        <w:numPr>
          <w:ilvl w:val="0"/>
          <w:numId w:val="56"/>
        </w:numPr>
        <w:spacing w:line="276" w:lineRule="auto"/>
        <w:jc w:val="both"/>
        <w:rPr>
          <w:color w:val="000000"/>
        </w:rPr>
      </w:pPr>
      <w:r w:rsidRPr="007264B8">
        <w:rPr>
          <w:color w:val="000000"/>
        </w:rPr>
        <w:t>A dedicated thermomechanical mock-up of the OTK cooling system should be developed and tested to experimentally validate thermal simulations, quantify temperature gradients across large-area assemblies, and provide a solid benchmark for comparing water and CO₂ cooling strategies.</w:t>
      </w:r>
    </w:p>
    <w:p w14:paraId="764D27CF" w14:textId="77777777" w:rsidR="007264B8" w:rsidRDefault="007264B8" w:rsidP="007264B8">
      <w:pPr>
        <w:pStyle w:val="NormalWeb"/>
        <w:numPr>
          <w:ilvl w:val="0"/>
          <w:numId w:val="56"/>
        </w:numPr>
        <w:spacing w:line="276" w:lineRule="auto"/>
        <w:jc w:val="both"/>
        <w:rPr>
          <w:color w:val="000000"/>
        </w:rPr>
      </w:pPr>
      <w:r w:rsidRPr="007264B8">
        <w:rPr>
          <w:color w:val="000000"/>
        </w:rPr>
        <w:lastRenderedPageBreak/>
        <w:t>The estimated wafer count (~3,250) does not currently include yield effects. Although the collaborating groups have extensive LGAD production experience, potential challenges—distinct from those encountered at the HL-LHC—must be anticipated and incorporated into production planning.</w:t>
      </w:r>
    </w:p>
    <w:p w14:paraId="795A5B2B" w14:textId="77777777" w:rsidR="007264B8" w:rsidRDefault="007264B8" w:rsidP="007264B8">
      <w:pPr>
        <w:pStyle w:val="NormalWeb"/>
        <w:numPr>
          <w:ilvl w:val="0"/>
          <w:numId w:val="56"/>
        </w:numPr>
        <w:spacing w:line="276" w:lineRule="auto"/>
        <w:jc w:val="both"/>
        <w:rPr>
          <w:color w:val="000000"/>
        </w:rPr>
      </w:pPr>
      <w:r w:rsidRPr="007264B8">
        <w:rPr>
          <w:color w:val="000000"/>
        </w:rPr>
        <w:t>Demonstration of large-area sensor stitching remains essential. Both TI-LGAD and RSD-LGAD variants (AC and DC) should be systematically studied in laboratory and beam environments to confirm uniformity, gain stability, and operational reliability.</w:t>
      </w:r>
    </w:p>
    <w:p w14:paraId="75D40CB2" w14:textId="700134FA" w:rsidR="007264B8" w:rsidRPr="007264B8" w:rsidRDefault="007264B8" w:rsidP="007264B8">
      <w:pPr>
        <w:pStyle w:val="NormalWeb"/>
        <w:numPr>
          <w:ilvl w:val="0"/>
          <w:numId w:val="56"/>
        </w:numPr>
        <w:spacing w:line="276" w:lineRule="auto"/>
        <w:jc w:val="both"/>
        <w:rPr>
          <w:color w:val="000000"/>
        </w:rPr>
      </w:pPr>
      <w:r w:rsidRPr="007264B8">
        <w:rPr>
          <w:color w:val="000000"/>
        </w:rPr>
        <w:t>The team is encouraged to apply lessons learned from the ALTIROC and ETROC developments to maximise design efficiency, streamline ASIC integration, and ensure continuity of expertise across design generations.</w:t>
      </w:r>
    </w:p>
    <w:p w14:paraId="052889D4" w14:textId="2A748A5A" w:rsidR="00556DE5" w:rsidRPr="00C3496D" w:rsidRDefault="00000000" w:rsidP="00C3496D">
      <w:pPr>
        <w:pStyle w:val="Heading1"/>
      </w:pPr>
      <w:r w:rsidRPr="00C3496D">
        <w:t>Gaseous Tracker</w:t>
      </w:r>
    </w:p>
    <w:p w14:paraId="55DC467F" w14:textId="77777777" w:rsidR="000D4C52" w:rsidRPr="000D4C52" w:rsidRDefault="000D4C52" w:rsidP="008E2076">
      <w:pPr>
        <w:pStyle w:val="NormalWeb"/>
        <w:spacing w:line="276" w:lineRule="auto"/>
        <w:jc w:val="both"/>
        <w:rPr>
          <w:color w:val="000000"/>
        </w:rPr>
      </w:pPr>
      <w:r w:rsidRPr="000D4C52">
        <w:rPr>
          <w:color w:val="000000"/>
        </w:rPr>
        <w:t>The current version of the TPC chapter represents a well-structured and mature document that clearly defines the baseline design and underlying assumptions. The presentation is concise and coherent, with significant improvements in clarity, consistency, and technical precision. The discussion of the main design elements is straightforward, allowing a clear understanding of the detector concept and its expected performance.</w:t>
      </w:r>
    </w:p>
    <w:p w14:paraId="15D9C7E1" w14:textId="12AEC585" w:rsidR="000D4C52" w:rsidRDefault="000D4C52" w:rsidP="008E2076">
      <w:pPr>
        <w:pStyle w:val="NormalWeb"/>
        <w:spacing w:line="276" w:lineRule="auto"/>
        <w:jc w:val="both"/>
        <w:rPr>
          <w:color w:val="000000"/>
        </w:rPr>
      </w:pPr>
      <w:r>
        <w:rPr>
          <w:color w:val="000000"/>
        </w:rPr>
        <w:t xml:space="preserve">From a mechanical perspective, the design has been strengthened and is now supported by detailed finite-element calculations. The use of carbon </w:t>
      </w:r>
      <w:proofErr w:type="spellStart"/>
      <w:r>
        <w:rPr>
          <w:color w:val="000000"/>
        </w:rPr>
        <w:t>fiber</w:t>
      </w:r>
      <w:proofErr w:type="spellEnd"/>
      <w:r>
        <w:rPr>
          <w:color w:val="000000"/>
        </w:rPr>
        <w:t xml:space="preserve"> provides a lightweight yet robust structure, and the field cage is now precisely specified.</w:t>
      </w:r>
    </w:p>
    <w:p w14:paraId="5ED5ADD2" w14:textId="77777777" w:rsidR="000D4C52" w:rsidRDefault="000D4C52" w:rsidP="008E2076">
      <w:pPr>
        <w:pStyle w:val="NormalWeb"/>
        <w:spacing w:line="276" w:lineRule="auto"/>
        <w:jc w:val="both"/>
        <w:rPr>
          <w:color w:val="000000"/>
        </w:rPr>
      </w:pPr>
      <w:r>
        <w:rPr>
          <w:color w:val="000000"/>
        </w:rPr>
        <w:t>The electronics design remains largely unchanged. The</w:t>
      </w:r>
      <w:r>
        <w:rPr>
          <w:rStyle w:val="apple-converted-space"/>
          <w:color w:val="000000"/>
        </w:rPr>
        <w:t> </w:t>
      </w:r>
      <w:r w:rsidRPr="00FD039E">
        <w:rPr>
          <w:rStyle w:val="Strong"/>
          <w:b w:val="0"/>
          <w:bCs w:val="0"/>
          <w:color w:val="000000"/>
        </w:rPr>
        <w:t>TEPIX chip</w:t>
      </w:r>
      <w:r>
        <w:rPr>
          <w:color w:val="000000"/>
        </w:rPr>
        <w:t>, implemented with an interposer scheme, continues to serve as the default front-end solution. The 180 nm technology node has been developed up to the foundry stage, while work on a 65 nm version has also commenced. There is an expressed intention to reduce the pad size to improve cluster separation and thereby enhance</w:t>
      </w:r>
      <w:r>
        <w:rPr>
          <w:rStyle w:val="apple-converted-space"/>
          <w:color w:val="000000"/>
        </w:rPr>
        <w:t> </w:t>
      </w:r>
      <w:proofErr w:type="spellStart"/>
      <w:r>
        <w:rPr>
          <w:rStyle w:val="Emphasis"/>
          <w:color w:val="000000"/>
        </w:rPr>
        <w:t>dE</w:t>
      </w:r>
      <w:proofErr w:type="spellEnd"/>
      <w:r>
        <w:rPr>
          <w:rStyle w:val="Emphasis"/>
          <w:color w:val="000000"/>
        </w:rPr>
        <w:t>/dx</w:t>
      </w:r>
      <w:r>
        <w:rPr>
          <w:color w:val="000000"/>
        </w:rPr>
        <w:t>-based particle identification.</w:t>
      </w:r>
    </w:p>
    <w:p w14:paraId="467A3C23" w14:textId="77777777" w:rsidR="000D4C52" w:rsidRDefault="000D4C52" w:rsidP="008E2076">
      <w:pPr>
        <w:pStyle w:val="NormalWeb"/>
        <w:spacing w:line="276" w:lineRule="auto"/>
        <w:jc w:val="both"/>
        <w:rPr>
          <w:color w:val="000000"/>
        </w:rPr>
      </w:pPr>
      <w:r>
        <w:rPr>
          <w:color w:val="000000"/>
        </w:rPr>
        <w:t>The baseline gas mixture remains the so-called</w:t>
      </w:r>
      <w:r>
        <w:rPr>
          <w:rStyle w:val="apple-converted-space"/>
          <w:color w:val="000000"/>
        </w:rPr>
        <w:t> </w:t>
      </w:r>
      <w:r w:rsidRPr="00FD039E">
        <w:rPr>
          <w:rStyle w:val="Strong"/>
          <w:b w:val="0"/>
          <w:bCs w:val="0"/>
          <w:color w:val="000000"/>
        </w:rPr>
        <w:t>T2K gas</w:t>
      </w:r>
      <w:r>
        <w:rPr>
          <w:color w:val="000000"/>
        </w:rPr>
        <w:t>, and</w:t>
      </w:r>
      <w:r>
        <w:rPr>
          <w:rStyle w:val="apple-converted-space"/>
          <w:color w:val="000000"/>
        </w:rPr>
        <w:t> </w:t>
      </w:r>
      <w:r w:rsidRPr="00FD039E">
        <w:rPr>
          <w:rStyle w:val="Strong"/>
          <w:b w:val="0"/>
          <w:bCs w:val="0"/>
          <w:color w:val="000000"/>
        </w:rPr>
        <w:t>water cooling</w:t>
      </w:r>
      <w:r>
        <w:rPr>
          <w:rStyle w:val="apple-converted-space"/>
          <w:color w:val="000000"/>
        </w:rPr>
        <w:t> </w:t>
      </w:r>
      <w:r>
        <w:rPr>
          <w:color w:val="000000"/>
        </w:rPr>
        <w:t>has been adopted, with a well-defined design for the cooling circuits now included.</w:t>
      </w:r>
    </w:p>
    <w:p w14:paraId="58D91088" w14:textId="77777777" w:rsidR="00FD039E" w:rsidRDefault="000D4C52" w:rsidP="008E2076">
      <w:pPr>
        <w:pStyle w:val="NormalWeb"/>
        <w:spacing w:line="276" w:lineRule="auto"/>
        <w:jc w:val="both"/>
        <w:rPr>
          <w:color w:val="000000"/>
        </w:rPr>
      </w:pPr>
      <w:r>
        <w:rPr>
          <w:color w:val="000000"/>
        </w:rPr>
        <w:t>Beam-related backgrounds have been estimated, and their impact on readout occupancy and space distortions due to accumulated space charge in the TPC gas has been evaluated. Calibration and alignment strategies are discussed in detail. The simulation framework used for assessing TPC performance is clearly described, including studies of momentum resolution and pion–kaon separation capability based on ionization measurements.</w:t>
      </w:r>
    </w:p>
    <w:p w14:paraId="5A61E54D" w14:textId="1A5C14D7" w:rsidR="000D4C52" w:rsidRDefault="000D4C52" w:rsidP="008E2076">
      <w:pPr>
        <w:pStyle w:val="NormalWeb"/>
        <w:spacing w:line="276" w:lineRule="auto"/>
        <w:jc w:val="both"/>
        <w:rPr>
          <w:color w:val="000000"/>
        </w:rPr>
      </w:pPr>
      <w:r>
        <w:rPr>
          <w:color w:val="000000"/>
        </w:rPr>
        <w:t>An alternative design option, based on a drift chamber concept, is also briefly mentioned.</w:t>
      </w:r>
    </w:p>
    <w:p w14:paraId="0B77435A" w14:textId="26BF62FA" w:rsidR="00556DE5" w:rsidRPr="009F3CBC" w:rsidRDefault="00FD039E">
      <w:pPr>
        <w:jc w:val="both"/>
        <w:rPr>
          <w:b/>
          <w:bCs/>
          <w:sz w:val="28"/>
          <w:szCs w:val="28"/>
        </w:rPr>
      </w:pPr>
      <w:r w:rsidRPr="009F3CBC">
        <w:rPr>
          <w:b/>
          <w:bCs/>
          <w:sz w:val="28"/>
          <w:szCs w:val="28"/>
        </w:rPr>
        <w:lastRenderedPageBreak/>
        <w:t>Recommendations</w:t>
      </w:r>
    </w:p>
    <w:p w14:paraId="186FBD9E" w14:textId="77777777" w:rsidR="00FD039E" w:rsidRPr="00FD039E" w:rsidRDefault="00FD039E" w:rsidP="00AC70F0">
      <w:pPr>
        <w:pStyle w:val="NormalWeb"/>
        <w:numPr>
          <w:ilvl w:val="0"/>
          <w:numId w:val="26"/>
        </w:numPr>
        <w:spacing w:line="276" w:lineRule="auto"/>
        <w:jc w:val="both"/>
      </w:pPr>
      <w:r w:rsidRPr="00FD039E">
        <w:t>Reassess the choice of</w:t>
      </w:r>
      <w:r w:rsidRPr="00FD039E">
        <w:rPr>
          <w:rStyle w:val="apple-converted-space"/>
        </w:rPr>
        <w:t> </w:t>
      </w:r>
      <w:r w:rsidRPr="00FD039E">
        <w:rPr>
          <w:rStyle w:val="Strong"/>
          <w:b w:val="0"/>
          <w:bCs w:val="0"/>
        </w:rPr>
        <w:t>500 × 500 μm² pad size</w:t>
      </w:r>
      <w:r w:rsidRPr="00FD039E">
        <w:rPr>
          <w:rStyle w:val="apple-converted-space"/>
        </w:rPr>
        <w:t> </w:t>
      </w:r>
      <w:r w:rsidRPr="00FD039E">
        <w:t>in combination with the T2K gas mixture, as this configuration appears suboptimal for</w:t>
      </w:r>
      <w:r w:rsidRPr="00FD039E">
        <w:rPr>
          <w:rStyle w:val="apple-converted-space"/>
        </w:rPr>
        <w:t> </w:t>
      </w:r>
      <w:proofErr w:type="spellStart"/>
      <w:r w:rsidRPr="00FD039E">
        <w:rPr>
          <w:rStyle w:val="Emphasis"/>
        </w:rPr>
        <w:t>dE</w:t>
      </w:r>
      <w:proofErr w:type="spellEnd"/>
      <w:r w:rsidRPr="00FD039E">
        <w:rPr>
          <w:rStyle w:val="Emphasis"/>
        </w:rPr>
        <w:t>/dx</w:t>
      </w:r>
      <w:r w:rsidRPr="00FD039E">
        <w:t>-based particle identification.</w:t>
      </w:r>
    </w:p>
    <w:p w14:paraId="57E679C9" w14:textId="736AF533" w:rsidR="00FD039E" w:rsidRPr="00FD039E" w:rsidRDefault="00FD039E" w:rsidP="00AC70F0">
      <w:pPr>
        <w:pStyle w:val="NormalWeb"/>
        <w:numPr>
          <w:ilvl w:val="0"/>
          <w:numId w:val="26"/>
        </w:numPr>
        <w:spacing w:line="276" w:lineRule="auto"/>
        <w:jc w:val="both"/>
      </w:pPr>
      <w:r w:rsidRPr="00FD039E">
        <w:t>Extend the</w:t>
      </w:r>
      <w:r w:rsidRPr="00FD039E">
        <w:rPr>
          <w:rStyle w:val="apple-converted-space"/>
        </w:rPr>
        <w:t> </w:t>
      </w:r>
      <w:r w:rsidRPr="00FD039E">
        <w:rPr>
          <w:rStyle w:val="Strong"/>
          <w:b w:val="0"/>
          <w:bCs w:val="0"/>
        </w:rPr>
        <w:t>beam-induced background studies</w:t>
      </w:r>
      <w:r w:rsidRPr="00FD039E">
        <w:t>, incorporating recent improvements in simulation and mitigation methods to refine background estimates and design margins.</w:t>
      </w:r>
    </w:p>
    <w:p w14:paraId="3FDAEA43" w14:textId="28AD182C" w:rsidR="00FD039E" w:rsidRPr="00FD039E" w:rsidRDefault="00FD039E" w:rsidP="00AC70F0">
      <w:pPr>
        <w:pStyle w:val="NormalWeb"/>
        <w:numPr>
          <w:ilvl w:val="0"/>
          <w:numId w:val="26"/>
        </w:numPr>
        <w:spacing w:line="276" w:lineRule="auto"/>
        <w:jc w:val="both"/>
      </w:pPr>
      <w:r w:rsidRPr="00FD039E">
        <w:t>Conduct more detailed investigations of</w:t>
      </w:r>
      <w:r w:rsidRPr="00FD039E">
        <w:rPr>
          <w:rStyle w:val="apple-converted-space"/>
        </w:rPr>
        <w:t> </w:t>
      </w:r>
      <w:r w:rsidRPr="00FD039E">
        <w:rPr>
          <w:rStyle w:val="Strong"/>
          <w:b w:val="0"/>
          <w:bCs w:val="0"/>
        </w:rPr>
        <w:t>space-charge distortions</w:t>
      </w:r>
      <w:r w:rsidRPr="00FD039E">
        <w:t>, ensuring that correction strategies are validated for all expected running conditions.</w:t>
      </w:r>
    </w:p>
    <w:p w14:paraId="4C59E8CD" w14:textId="31649190" w:rsidR="00FD039E" w:rsidRPr="00FD039E" w:rsidRDefault="00FD039E" w:rsidP="00AC70F0">
      <w:pPr>
        <w:pStyle w:val="NormalWeb"/>
        <w:numPr>
          <w:ilvl w:val="0"/>
          <w:numId w:val="26"/>
        </w:numPr>
        <w:spacing w:line="276" w:lineRule="auto"/>
        <w:jc w:val="both"/>
      </w:pPr>
      <w:r w:rsidRPr="00FD039E">
        <w:rPr>
          <w:rStyle w:val="Strong"/>
          <w:b w:val="0"/>
          <w:bCs w:val="0"/>
        </w:rPr>
        <w:t>Prototype ion backflow suppression techniques</w:t>
      </w:r>
      <w:r w:rsidRPr="00FD039E">
        <w:rPr>
          <w:b/>
          <w:bCs/>
        </w:rPr>
        <w:t>,</w:t>
      </w:r>
      <w:r w:rsidRPr="00FD039E">
        <w:t xml:space="preserve"> independently of the selected solution (e.g., double mesh or graphene filter), to verify feasibility and performance.</w:t>
      </w:r>
    </w:p>
    <w:p w14:paraId="3044DFDC" w14:textId="151C229C" w:rsidR="00FD039E" w:rsidRPr="00FD039E" w:rsidRDefault="00FD039E" w:rsidP="00AC70F0">
      <w:pPr>
        <w:pStyle w:val="NormalWeb"/>
        <w:numPr>
          <w:ilvl w:val="0"/>
          <w:numId w:val="26"/>
        </w:numPr>
        <w:spacing w:line="276" w:lineRule="auto"/>
        <w:jc w:val="both"/>
      </w:pPr>
      <w:r w:rsidRPr="00FD039E">
        <w:rPr>
          <w:rStyle w:val="Strong"/>
          <w:b w:val="0"/>
          <w:bCs w:val="0"/>
        </w:rPr>
        <w:t>Demonstrate experimentally</w:t>
      </w:r>
      <w:r w:rsidRPr="00FD039E">
        <w:rPr>
          <w:rStyle w:val="apple-converted-space"/>
        </w:rPr>
        <w:t> </w:t>
      </w:r>
      <w:r w:rsidRPr="00FD039E">
        <w:t>the effectiveness of spark-protection measures for the readout electronics.</w:t>
      </w:r>
    </w:p>
    <w:p w14:paraId="5D4CB72A" w14:textId="1212775E" w:rsidR="00FD039E" w:rsidRPr="00FD039E" w:rsidRDefault="00FD039E" w:rsidP="00AC70F0">
      <w:pPr>
        <w:pStyle w:val="NormalWeb"/>
        <w:numPr>
          <w:ilvl w:val="0"/>
          <w:numId w:val="26"/>
        </w:numPr>
        <w:spacing w:line="276" w:lineRule="auto"/>
        <w:jc w:val="both"/>
      </w:pPr>
      <w:r w:rsidRPr="00FD039E">
        <w:rPr>
          <w:rStyle w:val="Strong"/>
          <w:b w:val="0"/>
          <w:bCs w:val="0"/>
        </w:rPr>
        <w:t>Evaluate CO₂ cooling</w:t>
      </w:r>
      <w:r w:rsidRPr="00FD039E">
        <w:rPr>
          <w:rStyle w:val="apple-converted-space"/>
        </w:rPr>
        <w:t> </w:t>
      </w:r>
      <w:r w:rsidRPr="00FD039E">
        <w:t>as a potential alternative to water, taking advantage of its dielectric properties and ability to maintain constant-temperature heat removal without electrical risk.</w:t>
      </w:r>
    </w:p>
    <w:p w14:paraId="5EDEFAD3" w14:textId="687DD911" w:rsidR="00556DE5" w:rsidRPr="00C3496D" w:rsidRDefault="00000000" w:rsidP="00C3496D">
      <w:pPr>
        <w:pStyle w:val="Heading1"/>
      </w:pPr>
      <w:r w:rsidRPr="00C3496D">
        <w:t>Calorimeter system</w:t>
      </w:r>
    </w:p>
    <w:p w14:paraId="77238FDC" w14:textId="59596558" w:rsidR="00A31AB8" w:rsidRDefault="00A31AB8" w:rsidP="00A31AB8">
      <w:pPr>
        <w:pStyle w:val="NormalWeb"/>
        <w:spacing w:line="276" w:lineRule="auto"/>
        <w:jc w:val="both"/>
        <w:rPr>
          <w:color w:val="000000"/>
        </w:rPr>
      </w:pPr>
      <w:r>
        <w:rPr>
          <w:color w:val="000000"/>
        </w:rPr>
        <w:t>The calorimeter system—comprising the electromagnetic calorimeter (ECAL) and the hadronic calorimeter (HCAL)—is designed around the</w:t>
      </w:r>
      <w:r>
        <w:rPr>
          <w:rStyle w:val="apple-converted-space"/>
          <w:color w:val="000000"/>
        </w:rPr>
        <w:t> </w:t>
      </w:r>
      <w:r w:rsidRPr="00D05C47">
        <w:rPr>
          <w:rStyle w:val="Strong"/>
          <w:b w:val="0"/>
          <w:bCs w:val="0"/>
          <w:color w:val="000000"/>
        </w:rPr>
        <w:t>Particle Flow Algorithm (PFA</w:t>
      </w:r>
      <w:r>
        <w:rPr>
          <w:rStyle w:val="Strong"/>
          <w:color w:val="000000"/>
        </w:rPr>
        <w:t>)</w:t>
      </w:r>
      <w:r>
        <w:rPr>
          <w:rStyle w:val="apple-converted-space"/>
          <w:color w:val="000000"/>
        </w:rPr>
        <w:t> </w:t>
      </w:r>
      <w:r>
        <w:rPr>
          <w:color w:val="000000"/>
        </w:rPr>
        <w:t>concept. This approach aims to enhance jet energy resolution by distinguishing and identifying the detector responses of individual particle components within a jet and by combining calorimetric measurements for neutral and charged particles with momentum measurements from the tracking system. The ultimate goal is to achieve a</w:t>
      </w:r>
      <w:r>
        <w:rPr>
          <w:rStyle w:val="apple-converted-space"/>
          <w:color w:val="000000"/>
        </w:rPr>
        <w:t> </w:t>
      </w:r>
      <w:r w:rsidRPr="00D05C47">
        <w:rPr>
          <w:rStyle w:val="Strong"/>
          <w:b w:val="0"/>
          <w:bCs w:val="0"/>
          <w:color w:val="000000"/>
        </w:rPr>
        <w:t>boson mass resolution of 4%</w:t>
      </w:r>
      <w:r w:rsidRPr="00D05C47">
        <w:rPr>
          <w:b/>
          <w:bCs/>
          <w:color w:val="000000"/>
        </w:rPr>
        <w:t>,</w:t>
      </w:r>
      <w:r>
        <w:rPr>
          <w:color w:val="000000"/>
        </w:rPr>
        <w:t xml:space="preserve"> allowing clear separation of Z, W, and H bosons in the invariant mass distributions of their hadronic decays. Meeting this goal imposes stringent requirements on the</w:t>
      </w:r>
      <w:r>
        <w:rPr>
          <w:rStyle w:val="apple-converted-space"/>
          <w:color w:val="000000"/>
        </w:rPr>
        <w:t> </w:t>
      </w:r>
      <w:r w:rsidRPr="00D05C47">
        <w:rPr>
          <w:rStyle w:val="Strong"/>
          <w:b w:val="0"/>
          <w:bCs w:val="0"/>
          <w:color w:val="000000"/>
        </w:rPr>
        <w:t>hermeticity and granularity</w:t>
      </w:r>
      <w:r>
        <w:rPr>
          <w:rStyle w:val="apple-converted-space"/>
          <w:color w:val="000000"/>
        </w:rPr>
        <w:t> </w:t>
      </w:r>
      <w:r>
        <w:rPr>
          <w:color w:val="000000"/>
        </w:rPr>
        <w:t xml:space="preserve">of both the ECAL and HCAL, as well as on the intrinsic hadronic energy resolution. In addition, the ECAL must provide excellent low-energy performance, with a stochastic term </w:t>
      </w:r>
      <w:r w:rsidR="00D05C47">
        <w:rPr>
          <w:color w:val="000000"/>
        </w:rPr>
        <w:t xml:space="preserve">of </w:t>
      </w:r>
      <w:r w:rsidR="00D05C47" w:rsidRPr="00D05C47">
        <w:rPr>
          <w:color w:val="000000"/>
        </w:rPr>
        <w:t>3</w:t>
      </w:r>
      <w:r w:rsidRPr="00D05C47">
        <w:rPr>
          <w:rStyle w:val="Strong"/>
          <w:color w:val="000000"/>
        </w:rPr>
        <w:t>%/√E (GeV</w:t>
      </w:r>
      <w:r>
        <w:rPr>
          <w:rStyle w:val="Strong"/>
          <w:color w:val="000000"/>
        </w:rPr>
        <w:t>)</w:t>
      </w:r>
      <w:r>
        <w:rPr>
          <w:color w:val="000000"/>
        </w:rPr>
        <w:t>.</w:t>
      </w:r>
    </w:p>
    <w:p w14:paraId="56D4C7A6" w14:textId="5E08153C" w:rsidR="00556DE5" w:rsidRPr="00DE69A0" w:rsidRDefault="00000000" w:rsidP="00A31AB8">
      <w:pPr>
        <w:pStyle w:val="NormalWeb"/>
        <w:spacing w:line="276" w:lineRule="auto"/>
        <w:jc w:val="both"/>
        <w:rPr>
          <w:rFonts w:ascii="Arial" w:hAnsi="Arial" w:cs="Arial"/>
          <w:b/>
          <w:sz w:val="28"/>
          <w:szCs w:val="28"/>
        </w:rPr>
      </w:pPr>
      <w:r w:rsidRPr="00DE69A0">
        <w:rPr>
          <w:rFonts w:ascii="Arial" w:hAnsi="Arial" w:cs="Arial"/>
          <w:b/>
          <w:sz w:val="28"/>
          <w:szCs w:val="28"/>
        </w:rPr>
        <w:t>ECAL Assessment</w:t>
      </w:r>
    </w:p>
    <w:p w14:paraId="13CD838D" w14:textId="77777777" w:rsidR="00A31AB8" w:rsidRDefault="00A31AB8" w:rsidP="00A31AB8">
      <w:pPr>
        <w:pStyle w:val="NormalWeb"/>
        <w:spacing w:line="276" w:lineRule="auto"/>
        <w:jc w:val="both"/>
        <w:rPr>
          <w:color w:val="000000"/>
        </w:rPr>
      </w:pPr>
      <w:r>
        <w:rPr>
          <w:color w:val="000000"/>
        </w:rPr>
        <w:t>The high-granularity crystal ECAL represents a novel concept: a homogeneous calorimeter optimized for compatibility with PFA-based jet energy reconstruction. The design is modular, with the fundamental detection elements consisting of long, orthogonal</w:t>
      </w:r>
      <w:r>
        <w:rPr>
          <w:rStyle w:val="apple-converted-space"/>
          <w:color w:val="000000"/>
        </w:rPr>
        <w:t> </w:t>
      </w:r>
      <w:r w:rsidRPr="00D05C47">
        <w:rPr>
          <w:rStyle w:val="Strong"/>
          <w:b w:val="0"/>
          <w:bCs w:val="0"/>
          <w:color w:val="000000"/>
        </w:rPr>
        <w:t>BGO crystal bars</w:t>
      </w:r>
      <w:r>
        <w:rPr>
          <w:rStyle w:val="apple-converted-space"/>
          <w:color w:val="000000"/>
        </w:rPr>
        <w:t> </w:t>
      </w:r>
      <w:r>
        <w:rPr>
          <w:color w:val="000000"/>
        </w:rPr>
        <w:t xml:space="preserve">(1.5 × 1.5 × 40 cm³) read out at both ends by </w:t>
      </w:r>
      <w:proofErr w:type="spellStart"/>
      <w:r>
        <w:rPr>
          <w:color w:val="000000"/>
        </w:rPr>
        <w:t>SiPMs</w:t>
      </w:r>
      <w:proofErr w:type="spellEnd"/>
      <w:r>
        <w:rPr>
          <w:color w:val="000000"/>
        </w:rPr>
        <w:t>. This geometry provides the necessary longitudinal and transverse granularity for accurate shower reconstruction, while maintaining a manageable number of readout channels and power requirements. The total crystal volume is approximately 24 m³, and the module engineering is optimized for hermeticity.</w:t>
      </w:r>
    </w:p>
    <w:p w14:paraId="4E3C6FD2" w14:textId="01394DE7" w:rsidR="00A31AB8" w:rsidRDefault="00A31AB8" w:rsidP="00A31AB8">
      <w:pPr>
        <w:pStyle w:val="NormalWeb"/>
        <w:spacing w:line="276" w:lineRule="auto"/>
        <w:jc w:val="both"/>
        <w:rPr>
          <w:color w:val="000000"/>
        </w:rPr>
      </w:pPr>
      <w:r>
        <w:rPr>
          <w:color w:val="000000"/>
        </w:rPr>
        <w:lastRenderedPageBreak/>
        <w:t>The design has been validated against a set of specific performance benchmarks, including photon energy resolution, photon/pion separation, and PFA-based jet reconstruction. The target performance—a</w:t>
      </w:r>
      <w:r>
        <w:rPr>
          <w:rStyle w:val="apple-converted-space"/>
          <w:color w:val="000000"/>
        </w:rPr>
        <w:t> </w:t>
      </w:r>
      <w:r w:rsidRPr="00A31AB8">
        <w:rPr>
          <w:rStyle w:val="Strong"/>
          <w:b w:val="0"/>
          <w:bCs w:val="0"/>
          <w:color w:val="000000"/>
        </w:rPr>
        <w:t>boson mass resolution of 4%</w:t>
      </w:r>
      <w:r>
        <w:rPr>
          <w:rStyle w:val="apple-converted-space"/>
          <w:color w:val="000000"/>
        </w:rPr>
        <w:t> </w:t>
      </w:r>
      <w:r>
        <w:rPr>
          <w:color w:val="000000"/>
        </w:rPr>
        <w:t>for distinguishing W, Z, and H di-jet decays, and an</w:t>
      </w:r>
      <w:r>
        <w:rPr>
          <w:rStyle w:val="apple-converted-space"/>
          <w:color w:val="000000"/>
        </w:rPr>
        <w:t> </w:t>
      </w:r>
      <w:r w:rsidRPr="00A31AB8">
        <w:rPr>
          <w:rStyle w:val="Strong"/>
          <w:b w:val="0"/>
          <w:bCs w:val="0"/>
          <w:color w:val="000000"/>
        </w:rPr>
        <w:t>electromagnetic energy resolution</w:t>
      </w:r>
      <w:r>
        <w:rPr>
          <w:rStyle w:val="apple-converted-space"/>
          <w:color w:val="000000"/>
        </w:rPr>
        <w:t> </w:t>
      </w:r>
      <w:r>
        <w:rPr>
          <w:color w:val="000000"/>
        </w:rPr>
        <w:t>with a stochastic term below</w:t>
      </w:r>
      <w:r>
        <w:rPr>
          <w:rStyle w:val="apple-converted-space"/>
          <w:color w:val="000000"/>
        </w:rPr>
        <w:t> </w:t>
      </w:r>
      <w:r w:rsidR="00513BD6">
        <w:rPr>
          <w:rStyle w:val="Strong"/>
          <w:b w:val="0"/>
          <w:bCs w:val="0"/>
          <w:color w:val="000000"/>
        </w:rPr>
        <w:t>3</w:t>
      </w:r>
      <w:r w:rsidRPr="00A31AB8">
        <w:rPr>
          <w:rStyle w:val="Strong"/>
          <w:b w:val="0"/>
          <w:bCs w:val="0"/>
          <w:color w:val="000000"/>
        </w:rPr>
        <w:t>%/√E (GeV)</w:t>
      </w:r>
      <w:r>
        <w:rPr>
          <w:rStyle w:val="apple-converted-space"/>
          <w:color w:val="000000"/>
        </w:rPr>
        <w:t> </w:t>
      </w:r>
      <w:r>
        <w:rPr>
          <w:color w:val="000000"/>
        </w:rPr>
        <w:t>for low-energy states—appears convincingly within reach of the proposed design. Results from existing prototypes further support and give confidence to the simulation studies.</w:t>
      </w:r>
    </w:p>
    <w:p w14:paraId="7F9A9C95" w14:textId="77777777" w:rsidR="00A31AB8" w:rsidRDefault="00A31AB8" w:rsidP="00A31AB8">
      <w:pPr>
        <w:pStyle w:val="NormalWeb"/>
        <w:spacing w:line="276" w:lineRule="auto"/>
        <w:jc w:val="both"/>
        <w:rPr>
          <w:color w:val="000000"/>
        </w:rPr>
      </w:pPr>
      <w:r>
        <w:rPr>
          <w:color w:val="000000"/>
        </w:rPr>
        <w:t xml:space="preserve">The chapter is well structured, concise, and logically organized. It clearly presents the design rationale, outlines the technical specifications, and justifies the selected technological solutions, supported by a comprehensive performance evaluation. Calibration strategies addressing crystal transparency variations and </w:t>
      </w:r>
      <w:proofErr w:type="spellStart"/>
      <w:r>
        <w:rPr>
          <w:color w:val="000000"/>
        </w:rPr>
        <w:t>SiPM</w:t>
      </w:r>
      <w:proofErr w:type="spellEnd"/>
      <w:r>
        <w:rPr>
          <w:color w:val="000000"/>
        </w:rPr>
        <w:t xml:space="preserve"> non-linearities are thoroughly documented, drawing upon both operational experience and recent dedicated R&amp;D.</w:t>
      </w:r>
    </w:p>
    <w:p w14:paraId="69760367" w14:textId="77777777" w:rsidR="00A31AB8" w:rsidRDefault="00A31AB8" w:rsidP="00A31AB8">
      <w:pPr>
        <w:pStyle w:val="NormalWeb"/>
        <w:spacing w:line="276" w:lineRule="auto"/>
        <w:jc w:val="both"/>
        <w:rPr>
          <w:color w:val="000000"/>
        </w:rPr>
      </w:pPr>
      <w:r>
        <w:rPr>
          <w:color w:val="000000"/>
        </w:rPr>
        <w:t>The outlook for future activities is coherent and appropriate for the current project stage. Planned efforts include:</w:t>
      </w:r>
    </w:p>
    <w:p w14:paraId="6F6D693F" w14:textId="77777777" w:rsidR="00A31AB8" w:rsidRDefault="00A31AB8" w:rsidP="00AC70F0">
      <w:pPr>
        <w:pStyle w:val="NormalWeb"/>
        <w:numPr>
          <w:ilvl w:val="0"/>
          <w:numId w:val="27"/>
        </w:numPr>
        <w:spacing w:line="276" w:lineRule="auto"/>
        <w:rPr>
          <w:color w:val="000000"/>
        </w:rPr>
      </w:pPr>
      <w:r>
        <w:rPr>
          <w:color w:val="000000"/>
        </w:rPr>
        <w:t xml:space="preserve">development of QA/QC specifications for large-scale crystal and </w:t>
      </w:r>
      <w:proofErr w:type="spellStart"/>
      <w:r>
        <w:rPr>
          <w:color w:val="000000"/>
        </w:rPr>
        <w:t>SiPM</w:t>
      </w:r>
      <w:proofErr w:type="spellEnd"/>
      <w:r>
        <w:rPr>
          <w:color w:val="000000"/>
        </w:rPr>
        <w:t xml:space="preserve"> production;</w:t>
      </w:r>
    </w:p>
    <w:p w14:paraId="536B8621" w14:textId="35A5709C" w:rsidR="00A31AB8" w:rsidRDefault="00A31AB8" w:rsidP="00AC70F0">
      <w:pPr>
        <w:pStyle w:val="NormalWeb"/>
        <w:numPr>
          <w:ilvl w:val="0"/>
          <w:numId w:val="27"/>
        </w:numPr>
        <w:spacing w:line="276" w:lineRule="auto"/>
        <w:rPr>
          <w:color w:val="000000"/>
        </w:rPr>
      </w:pPr>
      <w:r>
        <w:rPr>
          <w:color w:val="000000"/>
        </w:rPr>
        <w:t>construction and testing of full-scale prototypes with final design choices;</w:t>
      </w:r>
    </w:p>
    <w:p w14:paraId="5F057D92" w14:textId="77777777" w:rsidR="00A31AB8" w:rsidRDefault="00A31AB8" w:rsidP="00AC70F0">
      <w:pPr>
        <w:pStyle w:val="NormalWeb"/>
        <w:numPr>
          <w:ilvl w:val="0"/>
          <w:numId w:val="27"/>
        </w:numPr>
        <w:spacing w:line="276" w:lineRule="auto"/>
        <w:rPr>
          <w:color w:val="000000"/>
        </w:rPr>
      </w:pPr>
      <w:r>
        <w:rPr>
          <w:color w:val="000000"/>
        </w:rPr>
        <w:t>refinement of the calibration procedures; and</w:t>
      </w:r>
    </w:p>
    <w:p w14:paraId="70AF4538" w14:textId="77777777" w:rsidR="00A31AB8" w:rsidRDefault="00A31AB8" w:rsidP="00AC70F0">
      <w:pPr>
        <w:pStyle w:val="NormalWeb"/>
        <w:numPr>
          <w:ilvl w:val="0"/>
          <w:numId w:val="27"/>
        </w:numPr>
        <w:spacing w:line="276" w:lineRule="auto"/>
        <w:rPr>
          <w:color w:val="000000"/>
        </w:rPr>
      </w:pPr>
      <w:r>
        <w:rPr>
          <w:color w:val="000000"/>
        </w:rPr>
        <w:t>exploration of the additional potential of the selected technology, such as timing capabilities and advanced software developments.</w:t>
      </w:r>
    </w:p>
    <w:p w14:paraId="28BCD623" w14:textId="77777777" w:rsidR="001D6B20" w:rsidRDefault="001D6B20" w:rsidP="00F85062">
      <w:pPr>
        <w:pStyle w:val="NormalWeb"/>
        <w:spacing w:line="276" w:lineRule="auto"/>
        <w:jc w:val="both"/>
        <w:rPr>
          <w:rStyle w:val="Strong"/>
          <w:b w:val="0"/>
          <w:bCs w:val="0"/>
          <w:color w:val="000000"/>
        </w:rPr>
      </w:pPr>
      <w:r w:rsidRPr="001D6B20">
        <w:rPr>
          <w:color w:val="000000"/>
        </w:rPr>
        <w:t>Although no showstoppers have been identified in relation to the current design, the</w:t>
      </w:r>
      <w:r w:rsidRPr="001D6B20">
        <w:rPr>
          <w:rStyle w:val="apple-converted-space"/>
          <w:color w:val="000000"/>
        </w:rPr>
        <w:t> </w:t>
      </w:r>
      <w:r w:rsidRPr="001D6B20">
        <w:rPr>
          <w:rStyle w:val="Strong"/>
          <w:b w:val="0"/>
          <w:bCs w:val="0"/>
          <w:color w:val="000000"/>
        </w:rPr>
        <w:t>scope and importance</w:t>
      </w:r>
      <w:r w:rsidRPr="001D6B20">
        <w:rPr>
          <w:rStyle w:val="apple-converted-space"/>
          <w:color w:val="000000"/>
        </w:rPr>
        <w:t> </w:t>
      </w:r>
      <w:r w:rsidRPr="001D6B20">
        <w:rPr>
          <w:color w:val="000000"/>
        </w:rPr>
        <w:t>of the remaining work call for</w:t>
      </w:r>
      <w:r w:rsidRPr="001D6B20">
        <w:rPr>
          <w:rStyle w:val="apple-converted-space"/>
          <w:color w:val="000000"/>
        </w:rPr>
        <w:t> </w:t>
      </w:r>
      <w:r w:rsidRPr="001D6B20">
        <w:rPr>
          <w:rStyle w:val="Strong"/>
          <w:b w:val="0"/>
          <w:bCs w:val="0"/>
          <w:color w:val="000000"/>
        </w:rPr>
        <w:t>robust planning and sustained focus</w:t>
      </w:r>
      <w:r>
        <w:rPr>
          <w:rStyle w:val="Strong"/>
          <w:b w:val="0"/>
          <w:bCs w:val="0"/>
          <w:color w:val="000000"/>
        </w:rPr>
        <w:t xml:space="preserve">. </w:t>
      </w:r>
    </w:p>
    <w:p w14:paraId="2C0526E3" w14:textId="6BEAC60D" w:rsidR="00B56C78" w:rsidRPr="001D6B20" w:rsidRDefault="00A31AB8" w:rsidP="00F85062">
      <w:pPr>
        <w:pStyle w:val="NormalWeb"/>
        <w:spacing w:line="276" w:lineRule="auto"/>
        <w:jc w:val="both"/>
        <w:rPr>
          <w:color w:val="000000"/>
        </w:rPr>
      </w:pPr>
      <w:r w:rsidRPr="001D6B20">
        <w:rPr>
          <w:color w:val="000000"/>
        </w:rPr>
        <w:t>In summary, the ECAL design has reached an</w:t>
      </w:r>
      <w:r w:rsidRPr="001D6B20">
        <w:rPr>
          <w:rStyle w:val="apple-converted-space"/>
          <w:color w:val="000000"/>
        </w:rPr>
        <w:t> </w:t>
      </w:r>
      <w:r w:rsidRPr="001D6B20">
        <w:rPr>
          <w:rStyle w:val="Strong"/>
          <w:b w:val="0"/>
          <w:bCs w:val="0"/>
          <w:color w:val="000000"/>
        </w:rPr>
        <w:t>advanced Technological Readiness Level (TRL)</w:t>
      </w:r>
      <w:r w:rsidRPr="001D6B20">
        <w:rPr>
          <w:b/>
          <w:bCs/>
          <w:color w:val="000000"/>
        </w:rPr>
        <w:t>.</w:t>
      </w:r>
      <w:r w:rsidRPr="001D6B20">
        <w:rPr>
          <w:color w:val="000000"/>
        </w:rPr>
        <w:t xml:space="preserve"> The overall detector concept and its subcomponents are well defined and well understood. The underlying technologies are mature and validated through prototypes, and the assembly process closely follows that of other large homogeneous calorimeters. Mass production could begin soon after completion of the remaining prototyping steps and definition of assembly engineering, QA/QC procedures, and logistics in line with the project schedule.</w:t>
      </w:r>
      <w:bookmarkStart w:id="6" w:name="_gyu0hkkao0g5" w:colFirst="0" w:colLast="0"/>
      <w:bookmarkEnd w:id="6"/>
    </w:p>
    <w:p w14:paraId="353E2A8D" w14:textId="48B8FA59" w:rsidR="00F85062" w:rsidRPr="00DE69A0" w:rsidRDefault="00000000" w:rsidP="00F85062">
      <w:pPr>
        <w:pStyle w:val="Heading1"/>
        <w:spacing w:before="0" w:after="0"/>
        <w:rPr>
          <w:b/>
          <w:sz w:val="28"/>
          <w:szCs w:val="28"/>
        </w:rPr>
      </w:pPr>
      <w:r w:rsidRPr="00DE69A0">
        <w:rPr>
          <w:b/>
          <w:sz w:val="28"/>
          <w:szCs w:val="28"/>
        </w:rPr>
        <w:t xml:space="preserve">HCAL </w:t>
      </w:r>
      <w:r w:rsidR="00F85062" w:rsidRPr="00DE69A0">
        <w:rPr>
          <w:b/>
          <w:sz w:val="28"/>
          <w:szCs w:val="28"/>
        </w:rPr>
        <w:t>–</w:t>
      </w:r>
      <w:r w:rsidRPr="00DE69A0">
        <w:rPr>
          <w:b/>
          <w:sz w:val="28"/>
          <w:szCs w:val="28"/>
        </w:rPr>
        <w:t xml:space="preserve"> Assessment</w:t>
      </w:r>
    </w:p>
    <w:p w14:paraId="27CB742C" w14:textId="77777777" w:rsidR="00847CEF" w:rsidRDefault="00F85062" w:rsidP="00F85062">
      <w:pPr>
        <w:pStyle w:val="NormalWeb"/>
        <w:spacing w:line="276" w:lineRule="auto"/>
        <w:jc w:val="both"/>
        <w:rPr>
          <w:color w:val="000000"/>
        </w:rPr>
      </w:pPr>
      <w:r>
        <w:rPr>
          <w:color w:val="000000"/>
        </w:rPr>
        <w:t>The hadronic calorimeter (HCAL) serves two main purposes:</w:t>
      </w:r>
      <w:r w:rsidR="00F043AE">
        <w:rPr>
          <w:color w:val="000000"/>
        </w:rPr>
        <w:t xml:space="preserve"> </w:t>
      </w:r>
      <w:r>
        <w:rPr>
          <w:color w:val="000000"/>
        </w:rPr>
        <w:t>a) to ensure clear shower separation in support of the PFA approach for individual particle reconstruction;</w:t>
      </w:r>
      <w:r w:rsidR="00F043AE">
        <w:rPr>
          <w:color w:val="000000"/>
        </w:rPr>
        <w:t xml:space="preserve"> </w:t>
      </w:r>
      <w:r>
        <w:rPr>
          <w:color w:val="000000"/>
        </w:rPr>
        <w:t>and</w:t>
      </w:r>
      <w:r w:rsidR="00F043AE">
        <w:rPr>
          <w:color w:val="000000"/>
        </w:rPr>
        <w:t xml:space="preserve"> </w:t>
      </w:r>
      <w:r>
        <w:rPr>
          <w:color w:val="000000"/>
        </w:rPr>
        <w:t>b) to provide good intrinsic hadronic energy resolution.</w:t>
      </w:r>
      <w:r w:rsidR="007264B8">
        <w:rPr>
          <w:color w:val="000000"/>
        </w:rPr>
        <w:t xml:space="preserve"> </w:t>
      </w:r>
    </w:p>
    <w:p w14:paraId="694C170A" w14:textId="26DDD89B" w:rsidR="00F85062" w:rsidRDefault="00F85062" w:rsidP="00F85062">
      <w:pPr>
        <w:pStyle w:val="NormalWeb"/>
        <w:spacing w:line="276" w:lineRule="auto"/>
        <w:jc w:val="both"/>
        <w:rPr>
          <w:color w:val="000000"/>
        </w:rPr>
      </w:pPr>
      <w:r>
        <w:rPr>
          <w:color w:val="000000"/>
        </w:rPr>
        <w:t>The adopted solution is a</w:t>
      </w:r>
      <w:r>
        <w:rPr>
          <w:rStyle w:val="apple-converted-space"/>
          <w:color w:val="000000"/>
        </w:rPr>
        <w:t> </w:t>
      </w:r>
      <w:r w:rsidRPr="00F043AE">
        <w:rPr>
          <w:rStyle w:val="Strong"/>
          <w:b w:val="0"/>
          <w:bCs w:val="0"/>
          <w:color w:val="000000"/>
        </w:rPr>
        <w:t>sampling calorimeter</w:t>
      </w:r>
      <w:r>
        <w:rPr>
          <w:rStyle w:val="apple-converted-space"/>
          <w:color w:val="000000"/>
        </w:rPr>
        <w:t> </w:t>
      </w:r>
      <w:r>
        <w:rPr>
          <w:color w:val="000000"/>
        </w:rPr>
        <w:t>using</w:t>
      </w:r>
      <w:r>
        <w:rPr>
          <w:rStyle w:val="apple-converted-space"/>
          <w:color w:val="000000"/>
        </w:rPr>
        <w:t> </w:t>
      </w:r>
      <w:r w:rsidRPr="00F043AE">
        <w:rPr>
          <w:rStyle w:val="Strong"/>
          <w:b w:val="0"/>
          <w:bCs w:val="0"/>
          <w:color w:val="000000"/>
        </w:rPr>
        <w:t>glass scintillators</w:t>
      </w:r>
      <w:r>
        <w:rPr>
          <w:rStyle w:val="apple-converted-space"/>
          <w:color w:val="000000"/>
        </w:rPr>
        <w:t> </w:t>
      </w:r>
      <w:r>
        <w:rPr>
          <w:color w:val="000000"/>
        </w:rPr>
        <w:t>as the active medium and</w:t>
      </w:r>
      <w:r>
        <w:rPr>
          <w:rStyle w:val="apple-converted-space"/>
          <w:color w:val="000000"/>
        </w:rPr>
        <w:t> </w:t>
      </w:r>
      <w:r w:rsidRPr="00F043AE">
        <w:rPr>
          <w:rStyle w:val="Strong"/>
          <w:b w:val="0"/>
          <w:bCs w:val="0"/>
          <w:color w:val="000000"/>
        </w:rPr>
        <w:t>stainless steel</w:t>
      </w:r>
      <w:r>
        <w:rPr>
          <w:rStyle w:val="apple-converted-space"/>
          <w:color w:val="000000"/>
        </w:rPr>
        <w:t> </w:t>
      </w:r>
      <w:r>
        <w:rPr>
          <w:color w:val="000000"/>
        </w:rPr>
        <w:t>as the absorber. The design comprises</w:t>
      </w:r>
      <w:r>
        <w:rPr>
          <w:rStyle w:val="apple-converted-space"/>
          <w:color w:val="000000"/>
        </w:rPr>
        <w:t> </w:t>
      </w:r>
      <w:r w:rsidRPr="00F043AE">
        <w:rPr>
          <w:rStyle w:val="Strong"/>
          <w:b w:val="0"/>
          <w:bCs w:val="0"/>
          <w:color w:val="000000"/>
        </w:rPr>
        <w:t>48 layers</w:t>
      </w:r>
      <w:r>
        <w:rPr>
          <w:color w:val="000000"/>
        </w:rPr>
        <w:t>, corresponding to a depth of approximately six interaction lengths. The overall configuration follows a conventional barrel–</w:t>
      </w:r>
      <w:r>
        <w:rPr>
          <w:color w:val="000000"/>
        </w:rPr>
        <w:lastRenderedPageBreak/>
        <w:t>endcap geometry typical of collider detectors, with an inner barrel radius of 2140 mm, outer radius of 3455 mm, and a total length of 6460 mm. The barrel weighs about 955 tons, and each endcap approximately 367 tons.</w:t>
      </w:r>
    </w:p>
    <w:p w14:paraId="271CCA34" w14:textId="77777777" w:rsidR="00F85062" w:rsidRDefault="00F85062" w:rsidP="00F85062">
      <w:pPr>
        <w:pStyle w:val="NormalWeb"/>
        <w:spacing w:line="276" w:lineRule="auto"/>
        <w:jc w:val="both"/>
        <w:rPr>
          <w:color w:val="000000"/>
        </w:rPr>
      </w:pPr>
      <w:r>
        <w:rPr>
          <w:color w:val="000000"/>
        </w:rPr>
        <w:t>The active elements consist of</w:t>
      </w:r>
      <w:r>
        <w:rPr>
          <w:rStyle w:val="apple-converted-space"/>
          <w:color w:val="000000"/>
        </w:rPr>
        <w:t> </w:t>
      </w:r>
      <w:r w:rsidRPr="00F043AE">
        <w:rPr>
          <w:rStyle w:val="Strong"/>
          <w:b w:val="0"/>
          <w:bCs w:val="0"/>
          <w:color w:val="000000"/>
        </w:rPr>
        <w:t xml:space="preserve">Ce³⁺-doped Gadolinium </w:t>
      </w:r>
      <w:proofErr w:type="spellStart"/>
      <w:r w:rsidRPr="00F043AE">
        <w:rPr>
          <w:rStyle w:val="Strong"/>
          <w:b w:val="0"/>
          <w:bCs w:val="0"/>
          <w:color w:val="000000"/>
        </w:rPr>
        <w:t>Fluoro</w:t>
      </w:r>
      <w:proofErr w:type="spellEnd"/>
      <w:r w:rsidRPr="00F043AE">
        <w:rPr>
          <w:rStyle w:val="Strong"/>
          <w:b w:val="0"/>
          <w:bCs w:val="0"/>
          <w:color w:val="000000"/>
        </w:rPr>
        <w:t>-Oxide (GFO)</w:t>
      </w:r>
      <w:r>
        <w:rPr>
          <w:rStyle w:val="apple-converted-space"/>
          <w:color w:val="000000"/>
        </w:rPr>
        <w:t> </w:t>
      </w:r>
      <w:r>
        <w:rPr>
          <w:color w:val="000000"/>
        </w:rPr>
        <w:t>glass tiles of 40 × 40 × 10 mm³. The total calorimeter includes</w:t>
      </w:r>
      <w:r>
        <w:rPr>
          <w:rStyle w:val="apple-converted-space"/>
          <w:color w:val="000000"/>
        </w:rPr>
        <w:t> </w:t>
      </w:r>
      <w:r w:rsidRPr="00F043AE">
        <w:rPr>
          <w:rStyle w:val="Strong"/>
          <w:b w:val="0"/>
          <w:bCs w:val="0"/>
          <w:color w:val="000000"/>
        </w:rPr>
        <w:t>5.22 million channels</w:t>
      </w:r>
      <w:r>
        <w:rPr>
          <w:color w:val="000000"/>
        </w:rPr>
        <w:t>. Although glass scintillators have been under study since the 1980s, they have only recently become viable for large-scale detectors, enabled by two major developments:</w:t>
      </w:r>
    </w:p>
    <w:p w14:paraId="1685F221" w14:textId="77777777" w:rsidR="00F85062" w:rsidRDefault="00F85062" w:rsidP="00F85062">
      <w:pPr>
        <w:pStyle w:val="NormalWeb"/>
        <w:numPr>
          <w:ilvl w:val="0"/>
          <w:numId w:val="28"/>
        </w:numPr>
        <w:spacing w:line="276" w:lineRule="auto"/>
        <w:jc w:val="both"/>
        <w:rPr>
          <w:color w:val="000000"/>
        </w:rPr>
      </w:pPr>
      <w:r>
        <w:rPr>
          <w:color w:val="000000"/>
        </w:rPr>
        <w:t>the achievement of sufficiently high light yield (~1250 photoelectrons/MeV at a density of ~6 g/cm³), largely driven by the proposing groups; and</w:t>
      </w:r>
    </w:p>
    <w:p w14:paraId="2BA6892C" w14:textId="77777777" w:rsidR="00F85062" w:rsidRDefault="00F85062" w:rsidP="00F85062">
      <w:pPr>
        <w:pStyle w:val="NormalWeb"/>
        <w:numPr>
          <w:ilvl w:val="0"/>
          <w:numId w:val="28"/>
        </w:numPr>
        <w:spacing w:line="276" w:lineRule="auto"/>
        <w:jc w:val="both"/>
        <w:rPr>
          <w:color w:val="000000"/>
        </w:rPr>
      </w:pPr>
      <w:r>
        <w:rPr>
          <w:color w:val="000000"/>
        </w:rPr>
        <w:t>the advent of</w:t>
      </w:r>
      <w:r>
        <w:rPr>
          <w:rStyle w:val="apple-converted-space"/>
          <w:color w:val="000000"/>
        </w:rPr>
        <w:t> </w:t>
      </w:r>
      <w:r w:rsidRPr="00F043AE">
        <w:rPr>
          <w:rStyle w:val="Strong"/>
          <w:b w:val="0"/>
          <w:bCs w:val="0"/>
          <w:color w:val="000000"/>
        </w:rPr>
        <w:t>silicon photomultipliers (</w:t>
      </w:r>
      <w:proofErr w:type="spellStart"/>
      <w:r w:rsidRPr="00F043AE">
        <w:rPr>
          <w:rStyle w:val="Strong"/>
          <w:b w:val="0"/>
          <w:bCs w:val="0"/>
          <w:color w:val="000000"/>
        </w:rPr>
        <w:t>SiPMs</w:t>
      </w:r>
      <w:proofErr w:type="spellEnd"/>
      <w:r w:rsidRPr="00F043AE">
        <w:rPr>
          <w:rStyle w:val="Strong"/>
          <w:b w:val="0"/>
          <w:bCs w:val="0"/>
          <w:color w:val="000000"/>
        </w:rPr>
        <w:t>)</w:t>
      </w:r>
      <w:r w:rsidRPr="00F043AE">
        <w:rPr>
          <w:b/>
          <w:bCs/>
          <w:color w:val="000000"/>
        </w:rPr>
        <w:t>,</w:t>
      </w:r>
      <w:r>
        <w:rPr>
          <w:color w:val="000000"/>
        </w:rPr>
        <w:t xml:space="preserve"> which can be coupled directly to each tile, minimizing light losses in </w:t>
      </w:r>
      <w:proofErr w:type="spellStart"/>
      <w:r>
        <w:rPr>
          <w:color w:val="000000"/>
        </w:rPr>
        <w:t>fibers</w:t>
      </w:r>
      <w:proofErr w:type="spellEnd"/>
      <w:r>
        <w:rPr>
          <w:color w:val="000000"/>
        </w:rPr>
        <w:t xml:space="preserve"> or active elements.</w:t>
      </w:r>
    </w:p>
    <w:p w14:paraId="2EE924C4" w14:textId="77777777" w:rsidR="00F85062" w:rsidRDefault="00F85062" w:rsidP="00F85062">
      <w:pPr>
        <w:pStyle w:val="NormalWeb"/>
        <w:spacing w:line="276" w:lineRule="auto"/>
        <w:jc w:val="both"/>
        <w:rPr>
          <w:color w:val="000000"/>
        </w:rPr>
      </w:pPr>
      <w:r>
        <w:rPr>
          <w:color w:val="000000"/>
        </w:rPr>
        <w:t>The Ref-TDR presents sound mechanical and electronics concepts, without unnecessary detail, which is appropriate at this stage. Barrel layers are assembled in</w:t>
      </w:r>
      <w:r>
        <w:rPr>
          <w:rStyle w:val="apple-converted-space"/>
          <w:color w:val="000000"/>
        </w:rPr>
        <w:t> </w:t>
      </w:r>
      <w:r w:rsidRPr="00F043AE">
        <w:rPr>
          <w:rStyle w:val="Strong"/>
          <w:b w:val="0"/>
          <w:bCs w:val="0"/>
          <w:color w:val="000000"/>
        </w:rPr>
        <w:t>cassette-like modules</w:t>
      </w:r>
      <w:r>
        <w:rPr>
          <w:rStyle w:val="apple-converted-space"/>
          <w:color w:val="000000"/>
        </w:rPr>
        <w:t> </w:t>
      </w:r>
      <w:r>
        <w:rPr>
          <w:color w:val="000000"/>
        </w:rPr>
        <w:t>of varying lateral size, forming a wedge-shaped design; a similar concept is foreseen for the endcaps. A</w:t>
      </w:r>
      <w:r>
        <w:rPr>
          <w:rStyle w:val="apple-converted-space"/>
          <w:color w:val="000000"/>
        </w:rPr>
        <w:t> </w:t>
      </w:r>
      <w:r w:rsidRPr="00F043AE">
        <w:rPr>
          <w:rStyle w:val="Strong"/>
          <w:b w:val="0"/>
          <w:bCs w:val="0"/>
          <w:color w:val="000000"/>
        </w:rPr>
        <w:t>water-based cooling system</w:t>
      </w:r>
      <w:r>
        <w:rPr>
          <w:rStyle w:val="apple-converted-space"/>
          <w:color w:val="000000"/>
        </w:rPr>
        <w:t> </w:t>
      </w:r>
      <w:r>
        <w:rPr>
          <w:color w:val="000000"/>
        </w:rPr>
        <w:t>has been conceptually designed. Finite-element mechanical simulations indicate that the barrel deformation due to its own weight, and that of the ECAL suspended from it, remains within tolerances: individual layer deflections stay below 0.5 mm, with layer-to-layer variations of about 0.2 mm (compared to a 2.4 mm tolerance). The mechanical stability is thus considered non-critical. The report, however, could provide further detail on how the ECAL is mechanically supported by the HCAL.</w:t>
      </w:r>
    </w:p>
    <w:p w14:paraId="517347B2" w14:textId="77777777" w:rsidR="00847CEF" w:rsidRDefault="00F85062" w:rsidP="00F85062">
      <w:pPr>
        <w:pStyle w:val="NormalWeb"/>
        <w:spacing w:line="276" w:lineRule="auto"/>
        <w:jc w:val="both"/>
        <w:rPr>
          <w:color w:val="000000"/>
        </w:rPr>
      </w:pPr>
      <w:r>
        <w:rPr>
          <w:color w:val="000000"/>
        </w:rPr>
        <w:t>A significant portion of the Ref-TDR is dedicated to the</w:t>
      </w:r>
      <w:r>
        <w:rPr>
          <w:rStyle w:val="apple-converted-space"/>
          <w:color w:val="000000"/>
        </w:rPr>
        <w:t> </w:t>
      </w:r>
      <w:r w:rsidRPr="00F043AE">
        <w:rPr>
          <w:rStyle w:val="Strong"/>
          <w:b w:val="0"/>
          <w:bCs w:val="0"/>
          <w:color w:val="000000"/>
        </w:rPr>
        <w:t>core R&amp;D on glass scintillators</w:t>
      </w:r>
      <w:r>
        <w:rPr>
          <w:color w:val="000000"/>
        </w:rPr>
        <w:t xml:space="preserve">. The collaboration has shown commendable depth in understanding tile characteristics, though some discrepancies remain—for instance, the measured energy deposition from cosmic rays (64 </w:t>
      </w:r>
      <w:proofErr w:type="spellStart"/>
      <w:r>
        <w:rPr>
          <w:color w:val="000000"/>
        </w:rPr>
        <w:t>p.e.</w:t>
      </w:r>
      <w:proofErr w:type="spellEnd"/>
      <w:r>
        <w:rPr>
          <w:color w:val="000000"/>
        </w:rPr>
        <w:t xml:space="preserve">/MIP) differs from the simulated value (42 </w:t>
      </w:r>
      <w:proofErr w:type="spellStart"/>
      <w:r>
        <w:rPr>
          <w:color w:val="000000"/>
        </w:rPr>
        <w:t>p.e.</w:t>
      </w:r>
      <w:proofErr w:type="spellEnd"/>
      <w:r>
        <w:rPr>
          <w:color w:val="000000"/>
        </w:rPr>
        <w:t>/MIP).</w:t>
      </w:r>
      <w:r w:rsidR="007264B8">
        <w:rPr>
          <w:color w:val="000000"/>
        </w:rPr>
        <w:t xml:space="preserve"> </w:t>
      </w:r>
    </w:p>
    <w:p w14:paraId="0E8DAFE5" w14:textId="433488DC" w:rsidR="00F85062" w:rsidRDefault="00F85062" w:rsidP="00F85062">
      <w:pPr>
        <w:pStyle w:val="NormalWeb"/>
        <w:spacing w:line="276" w:lineRule="auto"/>
        <w:jc w:val="both"/>
        <w:rPr>
          <w:color w:val="000000"/>
        </w:rPr>
      </w:pPr>
      <w:r>
        <w:rPr>
          <w:color w:val="000000"/>
        </w:rPr>
        <w:t>A key parameter is the</w:t>
      </w:r>
      <w:r>
        <w:rPr>
          <w:rStyle w:val="apple-converted-space"/>
          <w:color w:val="000000"/>
        </w:rPr>
        <w:t> </w:t>
      </w:r>
      <w:r w:rsidRPr="00F043AE">
        <w:rPr>
          <w:rStyle w:val="Strong"/>
          <w:b w:val="0"/>
          <w:bCs w:val="0"/>
          <w:color w:val="000000"/>
        </w:rPr>
        <w:t>attenuation length</w:t>
      </w:r>
      <w:r>
        <w:rPr>
          <w:rStyle w:val="apple-converted-space"/>
          <w:color w:val="000000"/>
        </w:rPr>
        <w:t> </w:t>
      </w:r>
      <w:r>
        <w:rPr>
          <w:color w:val="000000"/>
        </w:rPr>
        <w:t xml:space="preserve">as a function of wavelength, driven by material composition. </w:t>
      </w:r>
      <w:proofErr w:type="spellStart"/>
      <w:r>
        <w:rPr>
          <w:color w:val="000000"/>
        </w:rPr>
        <w:t>SiPMs</w:t>
      </w:r>
      <w:proofErr w:type="spellEnd"/>
      <w:r>
        <w:rPr>
          <w:color w:val="000000"/>
        </w:rPr>
        <w:t xml:space="preserve"> typically exhibit peak photodetection efficiency near 400 nm, where the attenuation length is around 6 cm; however, this length drops rapidly at shorter wavelengths. As a result, even minor material variations can cause strong tile-to-tile response differences. Ensuring strict uniformity across tiles is therefore critical to project success. Attenuation length measurements on a larger sample are urgently needed to assess production consistency.</w:t>
      </w:r>
    </w:p>
    <w:p w14:paraId="6CA1A4DA" w14:textId="77777777" w:rsidR="00F85062" w:rsidRDefault="00F85062" w:rsidP="00F85062">
      <w:pPr>
        <w:pStyle w:val="NormalWeb"/>
        <w:spacing w:line="276" w:lineRule="auto"/>
        <w:jc w:val="both"/>
        <w:rPr>
          <w:color w:val="000000"/>
        </w:rPr>
      </w:pPr>
      <w:r>
        <w:rPr>
          <w:color w:val="000000"/>
        </w:rPr>
        <w:t xml:space="preserve">The importance of attenuation length extends to the chosen readout scheme—one </w:t>
      </w:r>
      <w:proofErr w:type="spellStart"/>
      <w:r>
        <w:rPr>
          <w:color w:val="000000"/>
        </w:rPr>
        <w:t>SiPM</w:t>
      </w:r>
      <w:proofErr w:type="spellEnd"/>
      <w:r>
        <w:rPr>
          <w:color w:val="000000"/>
        </w:rPr>
        <w:t xml:space="preserve"> per tile. Even if overall uniformity can be stabilized, intra-tile uniformity must also be demonstrated. Preliminary beam tests have probed only the tile </w:t>
      </w:r>
      <w:proofErr w:type="spellStart"/>
      <w:r>
        <w:rPr>
          <w:color w:val="000000"/>
        </w:rPr>
        <w:t>centers</w:t>
      </w:r>
      <w:proofErr w:type="spellEnd"/>
      <w:r>
        <w:rPr>
          <w:color w:val="000000"/>
        </w:rPr>
        <w:t>; further studies should confirm the uniformity of the full response. The committee strongly encourages this line of work.</w:t>
      </w:r>
    </w:p>
    <w:p w14:paraId="103E3609" w14:textId="77777777" w:rsidR="00F85062" w:rsidRDefault="00F85062" w:rsidP="00F85062">
      <w:pPr>
        <w:pStyle w:val="NormalWeb"/>
        <w:spacing w:line="276" w:lineRule="auto"/>
        <w:jc w:val="both"/>
        <w:rPr>
          <w:color w:val="000000"/>
        </w:rPr>
      </w:pPr>
      <w:r>
        <w:rPr>
          <w:color w:val="000000"/>
        </w:rPr>
        <w:lastRenderedPageBreak/>
        <w:t xml:space="preserve">Uniformity control will remain a dominant part of the R&amp;D programme. Recent vendor tests show a satisfactory fraction of tiles with &gt;1000 </w:t>
      </w:r>
      <w:proofErr w:type="spellStart"/>
      <w:r>
        <w:rPr>
          <w:color w:val="000000"/>
        </w:rPr>
        <w:t>p.e.</w:t>
      </w:r>
      <w:proofErr w:type="spellEnd"/>
      <w:r>
        <w:rPr>
          <w:color w:val="000000"/>
        </w:rPr>
        <w:t>/MeV, but also a significant spread among samples. The construction of a large-scale prototype will be instrumental in establishing an effective</w:t>
      </w:r>
      <w:r>
        <w:rPr>
          <w:rStyle w:val="apple-converted-space"/>
          <w:color w:val="000000"/>
        </w:rPr>
        <w:t> </w:t>
      </w:r>
      <w:r w:rsidRPr="00F043AE">
        <w:rPr>
          <w:rStyle w:val="Strong"/>
          <w:b w:val="0"/>
          <w:bCs w:val="0"/>
          <w:color w:val="000000"/>
        </w:rPr>
        <w:t>QA/QC chain</w:t>
      </w:r>
      <w:r>
        <w:rPr>
          <w:rStyle w:val="apple-converted-space"/>
          <w:color w:val="000000"/>
        </w:rPr>
        <w:t> </w:t>
      </w:r>
      <w:r>
        <w:rPr>
          <w:color w:val="000000"/>
        </w:rPr>
        <w:t>and validating large-scale production. Maintaining close collaboration with industrial suppliers will be essential, and the review team was pleased to see that such partnerships are already in place.</w:t>
      </w:r>
    </w:p>
    <w:p w14:paraId="3DABADE5" w14:textId="77777777" w:rsidR="00F85062" w:rsidRDefault="00F85062" w:rsidP="00F85062">
      <w:pPr>
        <w:pStyle w:val="NormalWeb"/>
        <w:spacing w:line="276" w:lineRule="auto"/>
        <w:jc w:val="both"/>
        <w:rPr>
          <w:color w:val="000000"/>
        </w:rPr>
      </w:pPr>
      <w:r>
        <w:rPr>
          <w:color w:val="000000"/>
        </w:rPr>
        <w:t>The Ref-TDR also details the expected performance of both the prototype and the final HCAL. The prototype will include</w:t>
      </w:r>
      <w:r>
        <w:rPr>
          <w:rStyle w:val="apple-converted-space"/>
          <w:color w:val="000000"/>
        </w:rPr>
        <w:t> </w:t>
      </w:r>
      <w:r w:rsidRPr="00F043AE">
        <w:rPr>
          <w:rStyle w:val="Strong"/>
          <w:b w:val="0"/>
          <w:bCs w:val="0"/>
          <w:color w:val="000000"/>
        </w:rPr>
        <w:t>8112 cells over 48 layers</w:t>
      </w:r>
      <w:r>
        <w:rPr>
          <w:rStyle w:val="apple-converted-space"/>
          <w:color w:val="000000"/>
        </w:rPr>
        <w:t> </w:t>
      </w:r>
      <w:r>
        <w:rPr>
          <w:color w:val="000000"/>
        </w:rPr>
        <w:t>(6 nuclear interaction lengths), targeting an energy resolution with a stochastic term of</w:t>
      </w:r>
      <w:r>
        <w:rPr>
          <w:rStyle w:val="apple-converted-space"/>
          <w:color w:val="000000"/>
        </w:rPr>
        <w:t> </w:t>
      </w:r>
      <w:r w:rsidRPr="00F043AE">
        <w:rPr>
          <w:rStyle w:val="Strong"/>
          <w:b w:val="0"/>
          <w:bCs w:val="0"/>
          <w:color w:val="000000"/>
        </w:rPr>
        <w:t>~30%/√E</w:t>
      </w:r>
      <w:r w:rsidRPr="00F043AE">
        <w:rPr>
          <w:b/>
          <w:bCs/>
          <w:color w:val="000000"/>
        </w:rPr>
        <w:t>,</w:t>
      </w:r>
      <w:r>
        <w:rPr>
          <w:color w:val="000000"/>
        </w:rPr>
        <w:t xml:space="preserve"> consistent with design expectations. The constant term is under ongoing study. Beam tests across a wide range of particle types and energies will be critical for final validation and optimization of performance.</w:t>
      </w:r>
    </w:p>
    <w:p w14:paraId="7E3AEDA0" w14:textId="77777777" w:rsidR="00F85062" w:rsidRDefault="00F85062" w:rsidP="00F85062">
      <w:pPr>
        <w:pStyle w:val="NormalWeb"/>
        <w:spacing w:line="276" w:lineRule="auto"/>
        <w:jc w:val="both"/>
        <w:rPr>
          <w:color w:val="000000"/>
        </w:rPr>
      </w:pPr>
      <w:r>
        <w:rPr>
          <w:color w:val="000000"/>
        </w:rPr>
        <w:t>Overall, the section is well written, logically structured, and provides a clear picture of the project status. Calibration strategies and expected performance are convincingly presented, establishing a solid foundation for the next development stages.</w:t>
      </w:r>
    </w:p>
    <w:p w14:paraId="0FA84EF2" w14:textId="417E63EE" w:rsidR="007264B8" w:rsidRDefault="00F85062" w:rsidP="007264B8">
      <w:pPr>
        <w:pStyle w:val="NormalWeb"/>
        <w:spacing w:line="276" w:lineRule="auto"/>
        <w:jc w:val="both"/>
        <w:rPr>
          <w:color w:val="000000"/>
        </w:rPr>
      </w:pPr>
      <w:r>
        <w:rPr>
          <w:color w:val="000000"/>
        </w:rPr>
        <w:t>The project is now transitioning from a</w:t>
      </w:r>
      <w:r>
        <w:rPr>
          <w:rStyle w:val="apple-converted-space"/>
          <w:color w:val="000000"/>
        </w:rPr>
        <w:t> </w:t>
      </w:r>
      <w:r w:rsidRPr="00F043AE">
        <w:rPr>
          <w:rStyle w:val="Strong"/>
          <w:b w:val="0"/>
          <w:bCs w:val="0"/>
          <w:color w:val="000000"/>
        </w:rPr>
        <w:t>test-bench phase</w:t>
      </w:r>
      <w:r>
        <w:rPr>
          <w:rStyle w:val="apple-converted-space"/>
          <w:color w:val="000000"/>
        </w:rPr>
        <w:t> </w:t>
      </w:r>
      <w:r>
        <w:rPr>
          <w:color w:val="000000"/>
        </w:rPr>
        <w:t>to a</w:t>
      </w:r>
      <w:r>
        <w:rPr>
          <w:rStyle w:val="apple-converted-space"/>
          <w:color w:val="000000"/>
        </w:rPr>
        <w:t> </w:t>
      </w:r>
      <w:r w:rsidRPr="00F043AE">
        <w:rPr>
          <w:rStyle w:val="Strong"/>
          <w:b w:val="0"/>
          <w:bCs w:val="0"/>
          <w:color w:val="000000"/>
        </w:rPr>
        <w:t>large-scale prototyping phase</w:t>
      </w:r>
      <w:r w:rsidRPr="00F043AE">
        <w:rPr>
          <w:b/>
          <w:bCs/>
          <w:color w:val="000000"/>
        </w:rPr>
        <w:t>,</w:t>
      </w:r>
      <w:r>
        <w:rPr>
          <w:color w:val="000000"/>
        </w:rPr>
        <w:t xml:space="preserve"> marking significant progress in its Technological Readiness Level (TRL). Engaging with the</w:t>
      </w:r>
      <w:r>
        <w:rPr>
          <w:rStyle w:val="apple-converted-space"/>
          <w:color w:val="000000"/>
        </w:rPr>
        <w:t> </w:t>
      </w:r>
      <w:r w:rsidRPr="00F043AE">
        <w:rPr>
          <w:rStyle w:val="Strong"/>
          <w:b w:val="0"/>
          <w:bCs w:val="0"/>
          <w:color w:val="000000"/>
        </w:rPr>
        <w:t>Detector R&amp;D Collaboration (DRD Calo)</w:t>
      </w:r>
      <w:r>
        <w:rPr>
          <w:rStyle w:val="apple-converted-space"/>
          <w:color w:val="000000"/>
        </w:rPr>
        <w:t> </w:t>
      </w:r>
      <w:r>
        <w:rPr>
          <w:color w:val="000000"/>
        </w:rPr>
        <w:t>will be highly beneficial, offering access to essential test-beam infrastructure and international expertise. A successful demonstration of a glass scintillator calorimeter in a collider environment would constitute a major technological achievement. The current team composition is well suited to the present stage, though additional reinforcement will be beneficial as the project advances toward large-scale prototype construction, which will pose significant engineering challenges.</w:t>
      </w:r>
    </w:p>
    <w:p w14:paraId="4A97F22D" w14:textId="77777777" w:rsidR="005004FE" w:rsidRDefault="00823514" w:rsidP="005004FE">
      <w:pPr>
        <w:pStyle w:val="NormalWeb"/>
        <w:spacing w:line="276" w:lineRule="auto"/>
        <w:jc w:val="both"/>
        <w:rPr>
          <w:rFonts w:ascii="Arial" w:hAnsi="Arial" w:cs="Arial"/>
          <w:b/>
          <w:bCs/>
          <w:color w:val="000000"/>
          <w:sz w:val="28"/>
          <w:szCs w:val="28"/>
        </w:rPr>
      </w:pPr>
      <w:r w:rsidRPr="007264B8">
        <w:rPr>
          <w:rFonts w:ascii="Arial" w:hAnsi="Arial" w:cs="Arial"/>
          <w:b/>
          <w:bCs/>
          <w:color w:val="000000"/>
          <w:sz w:val="28"/>
          <w:szCs w:val="28"/>
        </w:rPr>
        <w:t>Recommendations</w:t>
      </w:r>
      <w:bookmarkStart w:id="7" w:name="_wtts3jc4f3o" w:colFirst="0" w:colLast="0"/>
      <w:bookmarkEnd w:id="7"/>
    </w:p>
    <w:p w14:paraId="3D408B1B" w14:textId="77777777" w:rsidR="005004FE" w:rsidRDefault="00823514" w:rsidP="005004FE">
      <w:pPr>
        <w:pStyle w:val="NormalWeb"/>
        <w:numPr>
          <w:ilvl w:val="0"/>
          <w:numId w:val="59"/>
        </w:numPr>
        <w:spacing w:line="276" w:lineRule="auto"/>
        <w:jc w:val="both"/>
        <w:rPr>
          <w:color w:val="000000" w:themeColor="text1"/>
        </w:rPr>
      </w:pPr>
      <w:r w:rsidRPr="001663C9">
        <w:rPr>
          <w:color w:val="000000" w:themeColor="text1"/>
        </w:rPr>
        <w:t>A</w:t>
      </w:r>
      <w:r w:rsidRPr="001663C9">
        <w:rPr>
          <w:rStyle w:val="Strong"/>
          <w:b w:val="0"/>
          <w:bCs w:val="0"/>
          <w:color w:val="000000" w:themeColor="text1"/>
        </w:rPr>
        <w:t>ddress intra-tile response variations</w:t>
      </w:r>
      <w:r w:rsidRPr="001663C9">
        <w:rPr>
          <w:b/>
          <w:bCs/>
          <w:color w:val="000000" w:themeColor="text1"/>
        </w:rPr>
        <w:t xml:space="preserve">, </w:t>
      </w:r>
      <w:r w:rsidRPr="001663C9">
        <w:rPr>
          <w:color w:val="000000" w:themeColor="text1"/>
        </w:rPr>
        <w:t xml:space="preserve">particularly given the design choice of using a single </w:t>
      </w:r>
      <w:proofErr w:type="spellStart"/>
      <w:r w:rsidRPr="001663C9">
        <w:rPr>
          <w:color w:val="000000" w:themeColor="text1"/>
        </w:rPr>
        <w:t>SiPM</w:t>
      </w:r>
      <w:proofErr w:type="spellEnd"/>
      <w:r w:rsidRPr="001663C9">
        <w:rPr>
          <w:color w:val="000000" w:themeColor="text1"/>
        </w:rPr>
        <w:t xml:space="preserve"> per tile, as these variations could significantly affect detector uniformity and calibration stability.</w:t>
      </w:r>
    </w:p>
    <w:p w14:paraId="2E606688" w14:textId="57F08C34" w:rsidR="00847CEF" w:rsidRPr="00847CEF" w:rsidRDefault="00823514" w:rsidP="00847CEF">
      <w:pPr>
        <w:pStyle w:val="NormalWeb"/>
        <w:numPr>
          <w:ilvl w:val="0"/>
          <w:numId w:val="59"/>
        </w:numPr>
        <w:spacing w:line="276" w:lineRule="auto"/>
        <w:jc w:val="both"/>
        <w:rPr>
          <w:rFonts w:ascii="Arial" w:hAnsi="Arial" w:cs="Arial"/>
          <w:color w:val="000000"/>
          <w:sz w:val="28"/>
          <w:szCs w:val="28"/>
        </w:rPr>
      </w:pPr>
      <w:r w:rsidRPr="001663C9">
        <w:rPr>
          <w:rStyle w:val="Strong"/>
          <w:b w:val="0"/>
          <w:bCs w:val="0"/>
          <w:color w:val="000000" w:themeColor="text1"/>
        </w:rPr>
        <w:t>Establish a robust and efficient QA/QC chain</w:t>
      </w:r>
      <w:r w:rsidRPr="001663C9">
        <w:rPr>
          <w:color w:val="000000" w:themeColor="text1"/>
        </w:rPr>
        <w:t>, building on the experience and methodologies developed for the PS-HCAL QA/QC programme.</w:t>
      </w:r>
    </w:p>
    <w:p w14:paraId="46023D66" w14:textId="77777777" w:rsidR="00847CEF" w:rsidRDefault="00847CEF" w:rsidP="00847CEF">
      <w:pPr>
        <w:pStyle w:val="NormalWeb"/>
        <w:spacing w:line="276" w:lineRule="auto"/>
        <w:jc w:val="both"/>
        <w:rPr>
          <w:color w:val="000000" w:themeColor="text1"/>
        </w:rPr>
      </w:pPr>
    </w:p>
    <w:p w14:paraId="0E2566ED" w14:textId="77777777" w:rsidR="00847CEF" w:rsidRPr="00847CEF" w:rsidRDefault="00847CEF" w:rsidP="00847CEF">
      <w:pPr>
        <w:pStyle w:val="NormalWeb"/>
        <w:spacing w:line="276" w:lineRule="auto"/>
        <w:jc w:val="both"/>
        <w:rPr>
          <w:rFonts w:ascii="Arial" w:hAnsi="Arial" w:cs="Arial"/>
          <w:color w:val="000000"/>
          <w:sz w:val="28"/>
          <w:szCs w:val="28"/>
        </w:rPr>
      </w:pPr>
    </w:p>
    <w:p w14:paraId="6CB154E5" w14:textId="17B8FA20" w:rsidR="00556DE5" w:rsidRDefault="00000000">
      <w:pPr>
        <w:pStyle w:val="Heading1"/>
        <w:jc w:val="both"/>
      </w:pPr>
      <w:r>
        <w:lastRenderedPageBreak/>
        <w:t>Muon Detector</w:t>
      </w:r>
    </w:p>
    <w:p w14:paraId="6A12D218" w14:textId="0FD6BF60" w:rsidR="00556DE5" w:rsidRPr="00A2112B" w:rsidRDefault="00A2112B" w:rsidP="00A2112B">
      <w:pPr>
        <w:pStyle w:val="Heading1"/>
        <w:spacing w:before="0" w:after="0"/>
        <w:rPr>
          <w:b/>
          <w:sz w:val="28"/>
          <w:szCs w:val="28"/>
        </w:rPr>
      </w:pPr>
      <w:bookmarkStart w:id="8" w:name="_hdx3g6cdzw1i" w:colFirst="0" w:colLast="0"/>
      <w:bookmarkEnd w:id="8"/>
      <w:r w:rsidRPr="00DE69A0">
        <w:rPr>
          <w:b/>
          <w:sz w:val="28"/>
          <w:szCs w:val="28"/>
        </w:rPr>
        <w:t>Assessment</w:t>
      </w:r>
    </w:p>
    <w:p w14:paraId="1C715333" w14:textId="77777777" w:rsidR="000D2D33" w:rsidRDefault="000D2D33" w:rsidP="000D2D33">
      <w:pPr>
        <w:pStyle w:val="NormalWeb"/>
        <w:spacing w:line="276" w:lineRule="auto"/>
        <w:jc w:val="both"/>
        <w:rPr>
          <w:color w:val="000000"/>
        </w:rPr>
      </w:pPr>
      <w:bookmarkStart w:id="9" w:name="_ho0x6oqa08bo" w:colFirst="0" w:colLast="0"/>
      <w:bookmarkEnd w:id="9"/>
      <w:r>
        <w:rPr>
          <w:color w:val="000000"/>
        </w:rPr>
        <w:t>The CEPC Muon System is designed to provide highly efficient muon identification and strong rejection of high-momentum hadron punch-through, complementing the tracker and calorimeters for robust event reconstruction. Based on the physics requirements, the system aims for a muon identification efficiency above 95%, a pion-to-muon misidentification rate below 1%, a spatial resolution of about 1 cm, a time resolution of around 1 ns, and a rate capability of approximately 50 Hz/cm².</w:t>
      </w:r>
    </w:p>
    <w:p w14:paraId="63E46DF9" w14:textId="77777777" w:rsidR="000D2D33" w:rsidRDefault="000D2D33" w:rsidP="000D2D33">
      <w:pPr>
        <w:pStyle w:val="NormalWeb"/>
        <w:spacing w:line="276" w:lineRule="auto"/>
        <w:jc w:val="both"/>
        <w:rPr>
          <w:color w:val="000000"/>
        </w:rPr>
      </w:pPr>
      <w:r>
        <w:rPr>
          <w:color w:val="000000"/>
        </w:rPr>
        <w:t xml:space="preserve">The baseline technology—long plastic scintillator bars with WLS fibres and dual-ended </w:t>
      </w:r>
      <w:proofErr w:type="spellStart"/>
      <w:r>
        <w:rPr>
          <w:color w:val="000000"/>
        </w:rPr>
        <w:t>SiPMs</w:t>
      </w:r>
      <w:proofErr w:type="spellEnd"/>
      <w:r>
        <w:rPr>
          <w:color w:val="000000"/>
        </w:rPr>
        <w:t xml:space="preserve">—is mature, reliable, and cost-effective. The choice enables excellent timing and position resolution while maintaining simplicity in fabrication and readout. Geometry and services are now complete: the six-layer barrel and six-disk endcap are fully defined, including sectorisation, patch-panel layout, cable routing, and front-end board locations. The </w:t>
      </w:r>
      <w:proofErr w:type="spellStart"/>
      <w:r>
        <w:rPr>
          <w:color w:val="000000"/>
        </w:rPr>
        <w:t>SiPM</w:t>
      </w:r>
      <w:proofErr w:type="spellEnd"/>
      <w:r>
        <w:rPr>
          <w:color w:val="000000"/>
        </w:rPr>
        <w:t xml:space="preserve"> down-selection is nearing completion. Both HPK and NDL EQR-20 devices meet the detector’s requirements, with the NDL option offering comparable photon detection efficiency and timing at lower bias voltage and cost. Noise levels remain well controlled under realistic thresholds.</w:t>
      </w:r>
    </w:p>
    <w:p w14:paraId="4D5BC89E" w14:textId="77777777" w:rsidR="000D2D33" w:rsidRDefault="000D2D33" w:rsidP="000D2D33">
      <w:pPr>
        <w:pStyle w:val="NormalWeb"/>
        <w:spacing w:line="276" w:lineRule="auto"/>
        <w:jc w:val="both"/>
        <w:rPr>
          <w:color w:val="000000"/>
        </w:rPr>
      </w:pPr>
      <w:r>
        <w:rPr>
          <w:color w:val="000000"/>
        </w:rPr>
        <w:t>Significant progress has been made on the R&amp;D of long scintillator bars. Five-metre-long bars have been built and tested, demonstrating mechanical stability, uniform light yield, and consistent timing across the full length. The use of drilled fibre holes and 2 mm WLS fibres has produced a substantial gain in light yield. Front-end electronics integrating amplification, discrimination, and TDC readout have achieved the targeted 1 ns timing precision. The next step will be a full demonstration with final boards operating under realistic load and system conditions. Calibration and monitoring systems—including LED or laser injection, cosmic-ray equalisation, and continuous temperature and bias control—are well defined and ready for implementation.</w:t>
      </w:r>
    </w:p>
    <w:p w14:paraId="552C2319" w14:textId="77777777" w:rsidR="000D2D33" w:rsidRDefault="000D2D33" w:rsidP="000D2D33">
      <w:pPr>
        <w:pStyle w:val="NormalWeb"/>
        <w:spacing w:line="276" w:lineRule="auto"/>
        <w:jc w:val="both"/>
        <w:rPr>
          <w:color w:val="000000"/>
        </w:rPr>
      </w:pPr>
      <w:r>
        <w:rPr>
          <w:color w:val="000000"/>
        </w:rPr>
        <w:t>Simulations based on experimental data establish a clear relationship between deposited energy, photoelectron yield, and threshold settings. An energy deposit of about 0.5 MeV, corresponding to approximately eight photoelectrons, produces a signal comfortably above threshold under realistic operating conditions. With a hit-time window below 30 ns, the pion-to-muon misidentification rate meets the design requirement of less than 1%, while tighter time cuts can further reduce background at only a modest cost in muon efficiency. Using at least three two-dimensional hit layers, standalone muon identification efficiencies of around 95% are achieved for momenta above 4 GeV/c. Beam-induced hit rates in the most exposed regions remain below 50 Hz/cm², well within the detector’s rate capability.</w:t>
      </w:r>
    </w:p>
    <w:p w14:paraId="194B5DC9" w14:textId="77777777" w:rsidR="000D2D33" w:rsidRDefault="000D2D33" w:rsidP="000D2D33">
      <w:pPr>
        <w:pStyle w:val="NormalWeb"/>
        <w:spacing w:line="276" w:lineRule="auto"/>
        <w:jc w:val="both"/>
        <w:rPr>
          <w:color w:val="000000"/>
        </w:rPr>
      </w:pPr>
      <w:r>
        <w:rPr>
          <w:color w:val="000000"/>
        </w:rPr>
        <w:t xml:space="preserve">Overall, the baseline design is coherent, technically sound, and well advanced. The detector layout, service routing, and calibration plan are clearly defined, and the technology choice—plastic </w:t>
      </w:r>
      <w:r>
        <w:rPr>
          <w:color w:val="000000"/>
        </w:rPr>
        <w:lastRenderedPageBreak/>
        <w:t xml:space="preserve">scintillator with WLS fibre and dual-ended </w:t>
      </w:r>
      <w:proofErr w:type="spellStart"/>
      <w:r>
        <w:rPr>
          <w:color w:val="000000"/>
        </w:rPr>
        <w:t>SiPM</w:t>
      </w:r>
      <w:proofErr w:type="spellEnd"/>
      <w:r>
        <w:rPr>
          <w:color w:val="000000"/>
        </w:rPr>
        <w:t xml:space="preserve"> readout—offers an excellent balance of performance, cost, and scalability. Remaining work focuses on system integration, large-scale prototyping, and validation under operational conditions, rather than fundamental feasibility.</w:t>
      </w:r>
    </w:p>
    <w:p w14:paraId="751197E1" w14:textId="6FDC9419" w:rsidR="000A0980" w:rsidRDefault="000A0980" w:rsidP="000A0980">
      <w:pPr>
        <w:pStyle w:val="NormalWeb"/>
        <w:rPr>
          <w:rFonts w:ascii="Arial" w:hAnsi="Arial" w:cs="Arial"/>
          <w:b/>
          <w:bCs/>
          <w:color w:val="000000"/>
          <w:sz w:val="28"/>
          <w:szCs w:val="28"/>
        </w:rPr>
      </w:pPr>
      <w:r w:rsidRPr="00DE69A0">
        <w:rPr>
          <w:rFonts w:ascii="Arial" w:hAnsi="Arial" w:cs="Arial"/>
          <w:b/>
          <w:bCs/>
          <w:color w:val="000000"/>
          <w:sz w:val="28"/>
          <w:szCs w:val="28"/>
        </w:rPr>
        <w:t>Recommendations</w:t>
      </w:r>
    </w:p>
    <w:p w14:paraId="23933A52" w14:textId="75007D05" w:rsidR="000D2D33" w:rsidRDefault="000D2D33" w:rsidP="000D2D33">
      <w:pPr>
        <w:pStyle w:val="NormalWeb"/>
        <w:numPr>
          <w:ilvl w:val="0"/>
          <w:numId w:val="47"/>
        </w:numPr>
        <w:spacing w:line="276" w:lineRule="auto"/>
        <w:jc w:val="both"/>
      </w:pPr>
      <w:r>
        <w:t xml:space="preserve">Construct and test a full-length detector sector (barrel or endcap) using final strips, </w:t>
      </w:r>
      <w:proofErr w:type="spellStart"/>
      <w:r>
        <w:t>SiPMs</w:t>
      </w:r>
      <w:proofErr w:type="spellEnd"/>
      <w:r>
        <w:t>, front-end boards, and services, to demonstrate 1 ns timing, threshold performance, and position uniformity under realistic conditions.</w:t>
      </w:r>
    </w:p>
    <w:p w14:paraId="62312345" w14:textId="4B2FAB29" w:rsidR="000D2D33" w:rsidRDefault="000D2D33" w:rsidP="000D2D33">
      <w:pPr>
        <w:pStyle w:val="NormalWeb"/>
        <w:numPr>
          <w:ilvl w:val="0"/>
          <w:numId w:val="47"/>
        </w:numPr>
        <w:spacing w:line="276" w:lineRule="auto"/>
        <w:jc w:val="both"/>
      </w:pPr>
      <w:r>
        <w:t xml:space="preserve">Finalise the </w:t>
      </w:r>
      <w:proofErr w:type="spellStart"/>
      <w:r>
        <w:t>SiPM</w:t>
      </w:r>
      <w:proofErr w:type="spellEnd"/>
      <w:r>
        <w:t xml:space="preserve"> choice between HPK and NDL using a transparent, quantitative scorecard including photon detection efficiency, gain, dark count rate versus temperature, cross-talk, timing, radiation tolerance, ageing, cost, and production readiness.</w:t>
      </w:r>
    </w:p>
    <w:p w14:paraId="1222F2D9" w14:textId="3B42E6F6" w:rsidR="000D2D33" w:rsidRDefault="000D2D33" w:rsidP="000D2D33">
      <w:pPr>
        <w:pStyle w:val="NormalWeb"/>
        <w:numPr>
          <w:ilvl w:val="0"/>
          <w:numId w:val="47"/>
        </w:numPr>
        <w:spacing w:line="276" w:lineRule="auto"/>
        <w:jc w:val="both"/>
      </w:pPr>
      <w:r>
        <w:t>Freeze the optical design parameters and thresholds, including fibre size, routing, coupling, and reflective terminations; document a complete QA/QC chain linking energy deposition, photoelectron yield, and hit threshold calibration.</w:t>
      </w:r>
    </w:p>
    <w:p w14:paraId="61CB2E12" w14:textId="6CAD62C7" w:rsidR="000D2D33" w:rsidRDefault="000D2D33" w:rsidP="000D2D33">
      <w:pPr>
        <w:pStyle w:val="NormalWeb"/>
        <w:numPr>
          <w:ilvl w:val="0"/>
          <w:numId w:val="47"/>
        </w:numPr>
        <w:spacing w:line="276" w:lineRule="auto"/>
        <w:jc w:val="both"/>
      </w:pPr>
      <w:r>
        <w:t>Define and validate L1 trigger primitives based on PSU timing and topology (time windows, majority logic, sector overlap), assess latency and bandwidth requirements, and benchmark HLT performance combining muon, calorimeter, and tracking data.</w:t>
      </w:r>
    </w:p>
    <w:p w14:paraId="4AB34E11" w14:textId="2B996F44" w:rsidR="000D2D33" w:rsidRDefault="000D2D33" w:rsidP="000D2D33">
      <w:pPr>
        <w:pStyle w:val="NormalWeb"/>
        <w:numPr>
          <w:ilvl w:val="0"/>
          <w:numId w:val="47"/>
        </w:numPr>
        <w:spacing w:line="276" w:lineRule="auto"/>
        <w:jc w:val="both"/>
      </w:pPr>
      <w:r>
        <w:t xml:space="preserve">Explore the detector’s performance for long-lived particle signatures, including displaced and delayed muons, by exploiting the six-layer geometry and precise timing. Establish timing windows and buffer depths at L1 and </w:t>
      </w:r>
      <w:r w:rsidR="00A2112B">
        <w:t>HLT and</w:t>
      </w:r>
      <w:r>
        <w:t xml:space="preserve"> develop benchmark analyses to quantify expected sensitivity gains.</w:t>
      </w:r>
    </w:p>
    <w:p w14:paraId="113DB63D" w14:textId="1485BA62" w:rsidR="000D2D33" w:rsidRPr="000D2D33" w:rsidRDefault="000D2D33" w:rsidP="000A0980">
      <w:pPr>
        <w:pStyle w:val="NormalWeb"/>
        <w:numPr>
          <w:ilvl w:val="0"/>
          <w:numId w:val="47"/>
        </w:numPr>
        <w:spacing w:line="276" w:lineRule="auto"/>
        <w:jc w:val="both"/>
        <w:rPr>
          <w:rStyle w:val="Strong"/>
          <w:b w:val="0"/>
          <w:bCs w:val="0"/>
        </w:rPr>
      </w:pPr>
      <w:r>
        <w:t>Finalise integration readiness by completing routing, grounding, and shielding layouts; validate access and maintenance plans; and prepare detailed procedures for calibration, timing alignment, and synchronization across large detector areas.</w:t>
      </w:r>
    </w:p>
    <w:p w14:paraId="4DD0771D" w14:textId="64417D97" w:rsidR="00556DE5" w:rsidRPr="00C3496D" w:rsidRDefault="00000000" w:rsidP="00C3496D">
      <w:pPr>
        <w:pStyle w:val="Heading1"/>
      </w:pPr>
      <w:r w:rsidRPr="00C3496D">
        <w:t>Superconducting Magnet</w:t>
      </w:r>
    </w:p>
    <w:p w14:paraId="4626BADE" w14:textId="51822547" w:rsidR="00556DE5" w:rsidRPr="00DE69A0" w:rsidRDefault="00000000">
      <w:pPr>
        <w:jc w:val="both"/>
        <w:rPr>
          <w:b/>
          <w:sz w:val="28"/>
          <w:szCs w:val="28"/>
        </w:rPr>
      </w:pPr>
      <w:r w:rsidRPr="00DE69A0">
        <w:rPr>
          <w:b/>
          <w:sz w:val="28"/>
          <w:szCs w:val="28"/>
        </w:rPr>
        <w:t>Findings and Comments</w:t>
      </w:r>
    </w:p>
    <w:p w14:paraId="26081292" w14:textId="77777777" w:rsidR="000D2D33" w:rsidRDefault="000D2D33" w:rsidP="000D2D33">
      <w:pPr>
        <w:pStyle w:val="NormalWeb"/>
        <w:spacing w:line="276" w:lineRule="auto"/>
        <w:jc w:val="both"/>
        <w:rPr>
          <w:color w:val="000000"/>
        </w:rPr>
      </w:pPr>
      <w:r>
        <w:rPr>
          <w:color w:val="000000"/>
        </w:rPr>
        <w:t>The committee commends the proponents for the significant advances achieved in the design of the detector’s superconducting magnet. The technical design has improved substantially and effectively incorporates feedback and recommendations provided during the previous review earlier this year.</w:t>
      </w:r>
    </w:p>
    <w:p w14:paraId="1EBD3200" w14:textId="77777777" w:rsidR="000D2D33" w:rsidRDefault="000D2D33" w:rsidP="000D2D33">
      <w:pPr>
        <w:pStyle w:val="NormalWeb"/>
        <w:spacing w:line="276" w:lineRule="auto"/>
        <w:jc w:val="both"/>
        <w:rPr>
          <w:color w:val="000000"/>
        </w:rPr>
      </w:pPr>
      <w:r>
        <w:rPr>
          <w:color w:val="000000"/>
        </w:rPr>
        <w:t xml:space="preserve">The electromagnetic design has been well optimised to provide a central magnetic field of 3 T within a warm bore volume of 7.07 m in diameter and 9.05 m in length. The ratio of stored magnetic energy to cold mass is approximately 11 kJ/kg—comparable to, and slightly more conservative than, the LHC CMS solenoid currently in operation. This design parameter indicates </w:t>
      </w:r>
      <w:r>
        <w:rPr>
          <w:color w:val="000000"/>
        </w:rPr>
        <w:lastRenderedPageBreak/>
        <w:t>that the magnet safety margin is appropriate and that stable operation can be maintained through partial energy extraction using a redundant quench protection system.</w:t>
      </w:r>
    </w:p>
    <w:p w14:paraId="5B33DE00" w14:textId="77777777" w:rsidR="000D2D33" w:rsidRDefault="000D2D33" w:rsidP="000D2D33">
      <w:pPr>
        <w:pStyle w:val="NormalWeb"/>
        <w:spacing w:line="276" w:lineRule="auto"/>
        <w:jc w:val="both"/>
        <w:rPr>
          <w:color w:val="000000"/>
        </w:rPr>
      </w:pPr>
      <w:r>
        <w:rPr>
          <w:color w:val="000000"/>
        </w:rPr>
        <w:t>A major improvement has been made in the mechanical safety design. Detailed structural calculations confirm that the maximum stress levels remain below allowable limits, meeting established mechanical safety standards. This represents a strong step forward in ensuring the reliability of the overall magnet system.</w:t>
      </w:r>
    </w:p>
    <w:p w14:paraId="6FD88216" w14:textId="77777777" w:rsidR="000D2D33" w:rsidRDefault="000D2D33" w:rsidP="000D2D33">
      <w:pPr>
        <w:pStyle w:val="NormalWeb"/>
        <w:spacing w:line="276" w:lineRule="auto"/>
        <w:jc w:val="both"/>
        <w:rPr>
          <w:color w:val="000000"/>
        </w:rPr>
      </w:pPr>
      <w:r>
        <w:rPr>
          <w:color w:val="000000"/>
        </w:rPr>
        <w:t>However, there remains some concern regarding the 7% variation in magnetic field uniformity within the TPC region. Given the stringent requirements on field uniformity to minimise distortions in particle trajectories, particularly within the TPC’s sensitive volume, this issue must be addressed in close coordination with the TPC detector group. The acceptable field variation limits should be jointly confirmed.</w:t>
      </w:r>
    </w:p>
    <w:p w14:paraId="600368E5" w14:textId="77777777" w:rsidR="000D2D33" w:rsidRDefault="000D2D33" w:rsidP="000D2D33">
      <w:pPr>
        <w:pStyle w:val="NormalWeb"/>
        <w:spacing w:line="276" w:lineRule="auto"/>
        <w:jc w:val="both"/>
        <w:rPr>
          <w:color w:val="000000"/>
        </w:rPr>
      </w:pPr>
      <w:r>
        <w:rPr>
          <w:color w:val="000000"/>
        </w:rPr>
        <w:t>The development of the aluminium-stabilised superconductor has been reported, but the documentation of progress remains incomplete. Clear evidence is still required to confirm both the mechanical safety and performance of the proposed conductor. Demonstrating industrial production feasibility for the full-scale “box-type” Al-stabilised conductor is a top priority for validating the baseline design. A well-defined backup scheme, such as a hybrid or welded structure, should also be prepared in case the box-type technology cannot be realised within a reasonable timescale.</w:t>
      </w:r>
    </w:p>
    <w:p w14:paraId="7DDC1066" w14:textId="77777777" w:rsidR="000D2D33" w:rsidRDefault="000D2D33" w:rsidP="000D2D33">
      <w:pPr>
        <w:pStyle w:val="NormalWeb"/>
        <w:spacing w:line="276" w:lineRule="auto"/>
        <w:jc w:val="both"/>
        <w:rPr>
          <w:color w:val="000000"/>
        </w:rPr>
      </w:pPr>
      <w:r>
        <w:rPr>
          <w:color w:val="000000"/>
        </w:rPr>
        <w:t>The cooling and cryogenics system design has advanced considerably, following the thermo-syphon cooling concept. Further optimisation should be pursued to include the implementation of a control dewar positioned above the detector structure. This dewar could integrate the inlet and outlet cooling pipes, control valves, and current leads into a single, compact assembly. Such a configuration would provide an additional helium reserve, ensuring continued cooling of the current leads during emergency situations, such as a total power failure that interrupts the general cryogenics supply. The helium flow design within the control dewar (phase separator box) should also be refined to facilitate efficient initial cooldown procedures.</w:t>
      </w:r>
    </w:p>
    <w:p w14:paraId="7E6E18E1" w14:textId="77777777" w:rsidR="000D2D33" w:rsidRDefault="000D2D33" w:rsidP="000D2D33">
      <w:pPr>
        <w:pStyle w:val="NormalWeb"/>
        <w:spacing w:line="276" w:lineRule="auto"/>
        <w:jc w:val="both"/>
        <w:rPr>
          <w:color w:val="000000"/>
        </w:rPr>
      </w:pPr>
      <w:r>
        <w:rPr>
          <w:color w:val="000000"/>
        </w:rPr>
        <w:t>The cryostat design should be further optimised, particularly regarding the physical thickness of the outer vacuum wall, which must safely withstand external ambient pressure. This is a fundamental design parameter requiring careful verification.</w:t>
      </w:r>
    </w:p>
    <w:p w14:paraId="60BD6B4B" w14:textId="77777777" w:rsidR="000D2D33" w:rsidRDefault="000D2D33" w:rsidP="000D2D33">
      <w:pPr>
        <w:pStyle w:val="NormalWeb"/>
        <w:spacing w:line="276" w:lineRule="auto"/>
        <w:jc w:val="both"/>
        <w:rPr>
          <w:color w:val="000000"/>
        </w:rPr>
      </w:pPr>
      <w:r>
        <w:rPr>
          <w:color w:val="000000"/>
        </w:rPr>
        <w:t>Good progress has been demonstrated through model coil winding tests using the inner-winding technique. The next stage should extend this work by employing full-size Al-stabilised superconductors to validate the integration of key magnet technologies, including coil winding, electrical insulation, cooling, and excitation performance.</w:t>
      </w:r>
    </w:p>
    <w:p w14:paraId="5DCA0A50" w14:textId="77777777" w:rsidR="000D2D33" w:rsidRDefault="000D2D33" w:rsidP="000D2D33">
      <w:pPr>
        <w:pStyle w:val="NormalWeb"/>
        <w:spacing w:line="276" w:lineRule="auto"/>
        <w:jc w:val="both"/>
        <w:rPr>
          <w:color w:val="000000"/>
        </w:rPr>
      </w:pPr>
      <w:r>
        <w:rPr>
          <w:color w:val="000000"/>
        </w:rPr>
        <w:lastRenderedPageBreak/>
        <w:t>The alternative high-temperature superconductor (HTS) coil design presents an interesting and innovative approach toward achieving a thinner solenoid configuration. Continued study is encouraged to assess its practical feasibility, operational safety, and reliability.</w:t>
      </w:r>
    </w:p>
    <w:p w14:paraId="0DDB5AC4" w14:textId="77777777" w:rsidR="00556DE5" w:rsidRPr="00DE69A0" w:rsidRDefault="00000000" w:rsidP="0087781D">
      <w:pPr>
        <w:jc w:val="both"/>
        <w:rPr>
          <w:b/>
          <w:sz w:val="28"/>
          <w:szCs w:val="28"/>
        </w:rPr>
      </w:pPr>
      <w:r w:rsidRPr="00DE69A0">
        <w:rPr>
          <w:b/>
          <w:sz w:val="28"/>
          <w:szCs w:val="28"/>
        </w:rPr>
        <w:t>Recommendations</w:t>
      </w:r>
    </w:p>
    <w:p w14:paraId="1B29FE0F" w14:textId="77777777" w:rsidR="000D2D33" w:rsidRDefault="000D2D33" w:rsidP="000D2D33">
      <w:pPr>
        <w:pStyle w:val="NormalWeb"/>
        <w:numPr>
          <w:ilvl w:val="0"/>
          <w:numId w:val="48"/>
        </w:numPr>
        <w:spacing w:line="276" w:lineRule="auto"/>
        <w:jc w:val="both"/>
        <w:rPr>
          <w:color w:val="000000"/>
        </w:rPr>
      </w:pPr>
      <w:bookmarkStart w:id="10" w:name="_6px7l7b3mx5l" w:colFirst="0" w:colLast="0"/>
      <w:bookmarkEnd w:id="10"/>
      <w:r>
        <w:rPr>
          <w:color w:val="000000"/>
        </w:rPr>
        <w:t>Verify the magnetic field uniformity in the TPC region to ensure compliance with the stringent requirements for trajectory reconstruction, maintaining close coordination between the TPC detector and magnet groups.</w:t>
      </w:r>
    </w:p>
    <w:p w14:paraId="35045327" w14:textId="77777777" w:rsidR="000D2D33" w:rsidRDefault="000D2D33" w:rsidP="000D2D33">
      <w:pPr>
        <w:pStyle w:val="NormalWeb"/>
        <w:numPr>
          <w:ilvl w:val="0"/>
          <w:numId w:val="48"/>
        </w:numPr>
        <w:spacing w:line="276" w:lineRule="auto"/>
        <w:jc w:val="both"/>
        <w:rPr>
          <w:color w:val="000000"/>
        </w:rPr>
      </w:pPr>
      <w:r>
        <w:rPr>
          <w:color w:val="000000"/>
        </w:rPr>
        <w:t>Accelerate the development of the Al-stabilised superconductor to demonstrate its industrial-scale production feasibility with sufficient length and performance margins. This should be prioritised to enable its application in the model coil winding within the planned timescale.</w:t>
      </w:r>
    </w:p>
    <w:p w14:paraId="01F6C082" w14:textId="77777777" w:rsidR="000D2D33" w:rsidRDefault="000D2D33" w:rsidP="000D2D33">
      <w:pPr>
        <w:pStyle w:val="NormalWeb"/>
        <w:numPr>
          <w:ilvl w:val="0"/>
          <w:numId w:val="48"/>
        </w:numPr>
        <w:spacing w:line="276" w:lineRule="auto"/>
        <w:jc w:val="both"/>
        <w:rPr>
          <w:color w:val="000000"/>
        </w:rPr>
      </w:pPr>
      <w:r>
        <w:rPr>
          <w:color w:val="000000"/>
        </w:rPr>
        <w:t>Establish a comprehensive model coil development, qualification, and performance test programme. This should include cooldown and excitation tests to verify fabrication techniques, cooling efficiency, superconducting performance, and quench protection characteristics.</w:t>
      </w:r>
    </w:p>
    <w:p w14:paraId="7243FDAF" w14:textId="77777777" w:rsidR="000D2D33" w:rsidRDefault="000D2D33" w:rsidP="000D2D33">
      <w:pPr>
        <w:pStyle w:val="NormalWeb"/>
        <w:numPr>
          <w:ilvl w:val="0"/>
          <w:numId w:val="48"/>
        </w:numPr>
        <w:spacing w:line="276" w:lineRule="auto"/>
        <w:jc w:val="both"/>
        <w:rPr>
          <w:color w:val="000000"/>
        </w:rPr>
      </w:pPr>
      <w:r>
        <w:rPr>
          <w:color w:val="000000"/>
        </w:rPr>
        <w:t>Further optimise the cryogenics and cryostat design, including the implementation of a control dewar that integrates current leads and cooling pipes into a single unit, providing redundancy and robustness in emergency or failure modes.</w:t>
      </w:r>
    </w:p>
    <w:p w14:paraId="1351D5CE" w14:textId="77777777" w:rsidR="00556DE5" w:rsidRPr="00C3496D" w:rsidRDefault="00000000" w:rsidP="00C3496D">
      <w:pPr>
        <w:pStyle w:val="Heading1"/>
      </w:pPr>
      <w:r w:rsidRPr="00C3496D">
        <w:t>Mechanical Integration</w:t>
      </w:r>
    </w:p>
    <w:p w14:paraId="4583F26A" w14:textId="77777777" w:rsidR="00556DE5" w:rsidRPr="00356E4A" w:rsidRDefault="00000000">
      <w:pPr>
        <w:spacing w:before="240" w:after="240"/>
        <w:jc w:val="both"/>
        <w:rPr>
          <w:b/>
          <w:sz w:val="28"/>
          <w:szCs w:val="28"/>
        </w:rPr>
      </w:pPr>
      <w:r w:rsidRPr="00356E4A">
        <w:rPr>
          <w:b/>
          <w:sz w:val="28"/>
          <w:szCs w:val="28"/>
        </w:rPr>
        <w:t>Assessment</w:t>
      </w:r>
    </w:p>
    <w:p w14:paraId="580E2277" w14:textId="77777777" w:rsidR="00065742" w:rsidRDefault="00065742" w:rsidP="00065742">
      <w:pPr>
        <w:pStyle w:val="NormalWeb"/>
        <w:spacing w:line="276" w:lineRule="auto"/>
        <w:jc w:val="both"/>
        <w:rPr>
          <w:color w:val="000000"/>
        </w:rPr>
      </w:pPr>
      <w:r>
        <w:rPr>
          <w:color w:val="000000"/>
        </w:rPr>
        <w:t xml:space="preserve">The mechanical design and integration of the CEPC reference detector are at an advanced stage and are clearly described in the report. The installation concept has been carefully developed, taking into account the substantial weight and dimensional constraints of the various sub-detectors. The core shaft designed for installing the barrel HCAL and ECAL detectors appears appropriate, as does the cantilever system proposed for the installation of the TPC, ITK, and beam-pipe assembly (including the VTX and </w:t>
      </w:r>
      <w:proofErr w:type="spellStart"/>
      <w:r>
        <w:rPr>
          <w:color w:val="000000"/>
        </w:rPr>
        <w:t>LumiCal</w:t>
      </w:r>
      <w:proofErr w:type="spellEnd"/>
      <w:r>
        <w:rPr>
          <w:color w:val="000000"/>
        </w:rPr>
        <w:t xml:space="preserve"> detectors).</w:t>
      </w:r>
    </w:p>
    <w:p w14:paraId="314D0493" w14:textId="77777777" w:rsidR="00065742" w:rsidRDefault="00065742" w:rsidP="00065742">
      <w:pPr>
        <w:pStyle w:val="NormalWeb"/>
        <w:spacing w:line="276" w:lineRule="auto"/>
        <w:jc w:val="both"/>
        <w:rPr>
          <w:color w:val="000000"/>
        </w:rPr>
      </w:pPr>
      <w:r>
        <w:rPr>
          <w:color w:val="000000"/>
        </w:rPr>
        <w:t>The design of the</w:t>
      </w:r>
      <w:r>
        <w:rPr>
          <w:rStyle w:val="apple-converted-space"/>
          <w:color w:val="000000"/>
        </w:rPr>
        <w:t> </w:t>
      </w:r>
      <w:r w:rsidRPr="00065742">
        <w:rPr>
          <w:rStyle w:val="Strong"/>
          <w:b w:val="0"/>
          <w:bCs w:val="0"/>
          <w:color w:val="000000"/>
        </w:rPr>
        <w:t>auxiliary facilities</w:t>
      </w:r>
      <w:r>
        <w:rPr>
          <w:rStyle w:val="apple-converted-space"/>
          <w:color w:val="000000"/>
        </w:rPr>
        <w:t> </w:t>
      </w:r>
      <w:r>
        <w:rPr>
          <w:color w:val="000000"/>
        </w:rPr>
        <w:t>is also well advanced. These include the air-conditioning system for the experimental hall, gas and cooling systems for the sub-detectors, power distribution and electronics systems, the cryogenic system for the superconducting magnet, and the hydraulic pump station intended for moving the detector to and from the collision point.</w:t>
      </w:r>
    </w:p>
    <w:p w14:paraId="174D34BF" w14:textId="07ED4BEC" w:rsidR="00065742" w:rsidRPr="00065742" w:rsidRDefault="00065742" w:rsidP="00065742">
      <w:pPr>
        <w:pStyle w:val="NormalWeb"/>
        <w:spacing w:line="276" w:lineRule="auto"/>
        <w:jc w:val="both"/>
        <w:rPr>
          <w:color w:val="000000"/>
        </w:rPr>
      </w:pPr>
      <w:r>
        <w:rPr>
          <w:color w:val="000000"/>
        </w:rPr>
        <w:t>In summary, the</w:t>
      </w:r>
      <w:r>
        <w:rPr>
          <w:rStyle w:val="apple-converted-space"/>
          <w:color w:val="000000"/>
        </w:rPr>
        <w:t> </w:t>
      </w:r>
      <w:r w:rsidRPr="00065742">
        <w:rPr>
          <w:rStyle w:val="Strong"/>
          <w:b w:val="0"/>
          <w:bCs w:val="0"/>
          <w:color w:val="000000"/>
        </w:rPr>
        <w:t>Technical Readiness Level (TRL)</w:t>
      </w:r>
      <w:r>
        <w:rPr>
          <w:rStyle w:val="apple-converted-space"/>
          <w:color w:val="000000"/>
        </w:rPr>
        <w:t> </w:t>
      </w:r>
      <w:r>
        <w:rPr>
          <w:color w:val="000000"/>
        </w:rPr>
        <w:t xml:space="preserve">of the mechanical integration is as advanced as could reasonably be expected at this stage. The mechanical design is detailed and supported by simulations; finite element analyses (FEA) have been performed to validate structural integrity </w:t>
      </w:r>
      <w:r>
        <w:rPr>
          <w:color w:val="000000"/>
        </w:rPr>
        <w:lastRenderedPageBreak/>
        <w:t>and deformation limits; and preliminary installation simulations have been conducted. Installation workflows, alignment procedures, and service routing strategies are well defined. The next essential step will be real-world prototype tests—such as mock-up installations of sub-detectors and their associated services—to achieve field-proven maturity, building on the collaboration’s prior experience with large-scale detector construction (e.g., BESIII).</w:t>
      </w:r>
    </w:p>
    <w:p w14:paraId="590E3D14" w14:textId="53FC7624" w:rsidR="00556DE5" w:rsidRPr="00356E4A" w:rsidRDefault="00000000">
      <w:pPr>
        <w:spacing w:before="240" w:after="240"/>
        <w:jc w:val="both"/>
        <w:rPr>
          <w:b/>
          <w:sz w:val="28"/>
          <w:szCs w:val="28"/>
        </w:rPr>
      </w:pPr>
      <w:r w:rsidRPr="00356E4A">
        <w:rPr>
          <w:b/>
          <w:sz w:val="28"/>
          <w:szCs w:val="28"/>
        </w:rPr>
        <w:t>Comments</w:t>
      </w:r>
    </w:p>
    <w:p w14:paraId="6F550021" w14:textId="77777777" w:rsidR="00065742" w:rsidRDefault="00065742" w:rsidP="006128E6">
      <w:pPr>
        <w:pStyle w:val="NormalWeb"/>
        <w:spacing w:line="276" w:lineRule="auto"/>
        <w:jc w:val="both"/>
        <w:rPr>
          <w:color w:val="000000"/>
        </w:rPr>
      </w:pPr>
      <w:r>
        <w:rPr>
          <w:color w:val="000000"/>
        </w:rPr>
        <w:t>Significant progress has been achieved since the previous review, particularly in the</w:t>
      </w:r>
      <w:r>
        <w:rPr>
          <w:rStyle w:val="apple-converted-space"/>
          <w:color w:val="000000"/>
        </w:rPr>
        <w:t> </w:t>
      </w:r>
      <w:r w:rsidRPr="00065742">
        <w:rPr>
          <w:rStyle w:val="Strong"/>
          <w:b w:val="0"/>
          <w:bCs w:val="0"/>
          <w:color w:val="000000"/>
        </w:rPr>
        <w:t>alignment of sub-detectors</w:t>
      </w:r>
      <w:r>
        <w:rPr>
          <w:rStyle w:val="apple-converted-space"/>
          <w:color w:val="000000"/>
        </w:rPr>
        <w:t> </w:t>
      </w:r>
      <w:r>
        <w:rPr>
          <w:color w:val="000000"/>
        </w:rPr>
        <w:t>and the</w:t>
      </w:r>
      <w:r>
        <w:rPr>
          <w:rStyle w:val="apple-converted-space"/>
          <w:color w:val="000000"/>
        </w:rPr>
        <w:t> </w:t>
      </w:r>
      <w:r w:rsidRPr="00065742">
        <w:rPr>
          <w:rStyle w:val="Strong"/>
          <w:b w:val="0"/>
          <w:bCs w:val="0"/>
          <w:color w:val="000000"/>
        </w:rPr>
        <w:t>routing of services</w:t>
      </w:r>
      <w:r>
        <w:rPr>
          <w:rStyle w:val="apple-converted-space"/>
          <w:color w:val="000000"/>
        </w:rPr>
        <w:t> </w:t>
      </w:r>
      <w:r>
        <w:rPr>
          <w:color w:val="000000"/>
        </w:rPr>
        <w:t>to the exterior of the detector. The addition of Section 14.3.2 is particularly valuable, as it quantitatively addresses the routing requirements for cables and cooling pipes across sub-detectors.</w:t>
      </w:r>
    </w:p>
    <w:p w14:paraId="25D22665" w14:textId="35F1D032" w:rsidR="00065742" w:rsidRPr="00065742" w:rsidRDefault="00065742" w:rsidP="006128E6">
      <w:pPr>
        <w:pStyle w:val="NormalWeb"/>
        <w:spacing w:line="276" w:lineRule="auto"/>
        <w:jc w:val="both"/>
        <w:rPr>
          <w:color w:val="000000"/>
        </w:rPr>
      </w:pPr>
      <w:r>
        <w:rPr>
          <w:color w:val="000000"/>
        </w:rPr>
        <w:t>The committee also acknowledges the additional studies on</w:t>
      </w:r>
      <w:r>
        <w:rPr>
          <w:rStyle w:val="apple-converted-space"/>
          <w:color w:val="000000"/>
        </w:rPr>
        <w:t> </w:t>
      </w:r>
      <w:r w:rsidRPr="00065742">
        <w:rPr>
          <w:rStyle w:val="Strong"/>
          <w:b w:val="0"/>
          <w:bCs w:val="0"/>
          <w:color w:val="000000"/>
        </w:rPr>
        <w:t>air cooling for the VTX detector</w:t>
      </w:r>
      <w:r>
        <w:rPr>
          <w:color w:val="000000"/>
        </w:rPr>
        <w:t>, which provide an improved understanding of the system’s performance. It is essential, however, to confirm that sufficient space is available to achieve the required cooling performance.</w:t>
      </w:r>
    </w:p>
    <w:p w14:paraId="662DC711" w14:textId="7A518E6F" w:rsidR="00556DE5" w:rsidRPr="00356E4A" w:rsidRDefault="00000000">
      <w:pPr>
        <w:spacing w:before="240" w:after="240"/>
        <w:jc w:val="both"/>
        <w:rPr>
          <w:b/>
          <w:sz w:val="28"/>
          <w:szCs w:val="28"/>
        </w:rPr>
      </w:pPr>
      <w:r w:rsidRPr="00356E4A">
        <w:rPr>
          <w:b/>
          <w:sz w:val="28"/>
          <w:szCs w:val="28"/>
        </w:rPr>
        <w:t>Recommendations</w:t>
      </w:r>
    </w:p>
    <w:p w14:paraId="62D26117" w14:textId="45CF153B" w:rsidR="00065742" w:rsidRDefault="00065742" w:rsidP="006128E6">
      <w:pPr>
        <w:pStyle w:val="NormalWeb"/>
        <w:numPr>
          <w:ilvl w:val="0"/>
          <w:numId w:val="37"/>
        </w:numPr>
        <w:spacing w:line="276" w:lineRule="auto"/>
        <w:jc w:val="both"/>
      </w:pPr>
      <w:bookmarkStart w:id="11" w:name="_1munde63xc6w" w:colFirst="0" w:colLast="0"/>
      <w:bookmarkEnd w:id="11"/>
      <w:r w:rsidRPr="00065742">
        <w:rPr>
          <w:rStyle w:val="Strong"/>
          <w:b w:val="0"/>
          <w:bCs w:val="0"/>
        </w:rPr>
        <w:t>Continue and extend the routing-path studies</w:t>
      </w:r>
      <w:r>
        <w:rPr>
          <w:rStyle w:val="apple-converted-space"/>
        </w:rPr>
        <w:t> </w:t>
      </w:r>
      <w:r>
        <w:t>toward the inner detectors (TPC, OTK, ITK, and VTX). While Table 14.5 lists the number and dimensions of cables and cooling pipes, it remains unclear whether the available space is fully adequate—particularly since the routing volume is considered only from the Barrel ECAL outward.</w:t>
      </w:r>
    </w:p>
    <w:p w14:paraId="3BE3A72B" w14:textId="39FB303D" w:rsidR="00065742" w:rsidRDefault="00065742" w:rsidP="006128E6">
      <w:pPr>
        <w:pStyle w:val="NormalWeb"/>
        <w:numPr>
          <w:ilvl w:val="0"/>
          <w:numId w:val="37"/>
        </w:numPr>
        <w:spacing w:line="276" w:lineRule="auto"/>
        <w:jc w:val="both"/>
      </w:pPr>
      <w:r w:rsidRPr="00065742">
        <w:rPr>
          <w:rStyle w:val="Strong"/>
          <w:b w:val="0"/>
          <w:bCs w:val="0"/>
        </w:rPr>
        <w:t>Reevaluate the VTX air-cooling design.</w:t>
      </w:r>
      <w:r>
        <w:rPr>
          <w:rStyle w:val="apple-converted-space"/>
        </w:rPr>
        <w:t> </w:t>
      </w:r>
      <w:r>
        <w:t xml:space="preserve">Recent studies (Section 4.3.2) indicate that the airflow had to be increased from 3.5 m/s to 5 m/s to maintain performance, yet the temperature of Layer 1 remains close to 30 °C. </w:t>
      </w:r>
    </w:p>
    <w:p w14:paraId="44B8F9AE" w14:textId="77777777" w:rsidR="00065742" w:rsidRDefault="00065742" w:rsidP="006128E6">
      <w:pPr>
        <w:pStyle w:val="NormalWeb"/>
        <w:numPr>
          <w:ilvl w:val="0"/>
          <w:numId w:val="37"/>
        </w:numPr>
        <w:spacing w:line="276" w:lineRule="auto"/>
        <w:jc w:val="both"/>
      </w:pPr>
      <w:r w:rsidRPr="00065742">
        <w:rPr>
          <w:rStyle w:val="Strong"/>
          <w:b w:val="0"/>
          <w:bCs w:val="0"/>
        </w:rPr>
        <w:t>Validate the thermal simulations</w:t>
      </w:r>
      <w:r>
        <w:rPr>
          <w:rStyle w:val="apple-converted-space"/>
        </w:rPr>
        <w:t> </w:t>
      </w:r>
      <w:r>
        <w:t>presented in Figure 4.18 through the construction and testing of a VTX mock-up with dummy wafers and heaters. This will provide an essential experimental cross-check of the simulated results.</w:t>
      </w:r>
    </w:p>
    <w:p w14:paraId="2E2EB538" w14:textId="4EDB5A21" w:rsidR="00065742" w:rsidRPr="00065742" w:rsidRDefault="00065742" w:rsidP="006128E6">
      <w:pPr>
        <w:pStyle w:val="NormalWeb"/>
        <w:numPr>
          <w:ilvl w:val="0"/>
          <w:numId w:val="37"/>
        </w:numPr>
        <w:spacing w:line="276" w:lineRule="auto"/>
        <w:jc w:val="both"/>
      </w:pPr>
      <w:r w:rsidRPr="00065742">
        <w:rPr>
          <w:rStyle w:val="Strong"/>
          <w:b w:val="0"/>
          <w:bCs w:val="0"/>
        </w:rPr>
        <w:t>Pursue further studies on refrigerant choice</w:t>
      </w:r>
      <w:r>
        <w:rPr>
          <w:rStyle w:val="apple-converted-space"/>
        </w:rPr>
        <w:t> </w:t>
      </w:r>
      <w:r>
        <w:t>across the various sub-detectors. The use of supercritical CO₂ (</w:t>
      </w:r>
      <w:proofErr w:type="spellStart"/>
      <w:r>
        <w:t>sCO</w:t>
      </w:r>
      <w:proofErr w:type="spellEnd"/>
      <w:r>
        <w:t>₂) should be carefully evaluated as an alternative to water, given its dielectric nature, higher heat-transfer coefficient, and reduced piping requirements, which could offer clear technical and operational advantages.</w:t>
      </w:r>
    </w:p>
    <w:p w14:paraId="7027E045" w14:textId="5B538553" w:rsidR="00556DE5" w:rsidRPr="00C3496D" w:rsidRDefault="00000000" w:rsidP="00C3496D">
      <w:pPr>
        <w:pStyle w:val="Heading1"/>
      </w:pPr>
      <w:r w:rsidRPr="00C3496D">
        <w:t>Readout Electronics</w:t>
      </w:r>
    </w:p>
    <w:p w14:paraId="49AE2D7A" w14:textId="77777777" w:rsidR="00206ECD" w:rsidRPr="00206ECD" w:rsidRDefault="00206ECD" w:rsidP="00206ECD">
      <w:pPr>
        <w:pStyle w:val="Heading3"/>
        <w:keepNext w:val="0"/>
        <w:keepLines w:val="0"/>
        <w:spacing w:before="280"/>
        <w:jc w:val="both"/>
        <w:rPr>
          <w:rFonts w:ascii="Times New Roman" w:hAnsi="Times New Roman" w:cs="Times New Roman"/>
          <w:color w:val="000000"/>
          <w:sz w:val="24"/>
          <w:szCs w:val="24"/>
        </w:rPr>
      </w:pPr>
      <w:bookmarkStart w:id="12" w:name="_87fbv13y1lat" w:colFirst="0" w:colLast="0"/>
      <w:bookmarkEnd w:id="12"/>
      <w:r w:rsidRPr="00206ECD">
        <w:rPr>
          <w:rFonts w:ascii="Times New Roman" w:hAnsi="Times New Roman" w:cs="Times New Roman"/>
          <w:color w:val="000000"/>
          <w:sz w:val="24"/>
          <w:szCs w:val="24"/>
        </w:rPr>
        <w:t>The</w:t>
      </w:r>
      <w:r w:rsidRPr="00206ECD">
        <w:rPr>
          <w:rStyle w:val="apple-converted-space"/>
          <w:rFonts w:ascii="Times New Roman" w:hAnsi="Times New Roman" w:cs="Times New Roman"/>
          <w:color w:val="000000"/>
          <w:sz w:val="24"/>
          <w:szCs w:val="24"/>
        </w:rPr>
        <w:t> </w:t>
      </w:r>
      <w:r w:rsidRPr="00206ECD">
        <w:rPr>
          <w:rStyle w:val="Strong"/>
          <w:rFonts w:ascii="Times New Roman" w:hAnsi="Times New Roman" w:cs="Times New Roman"/>
          <w:b w:val="0"/>
          <w:bCs w:val="0"/>
          <w:color w:val="000000"/>
          <w:sz w:val="24"/>
          <w:szCs w:val="24"/>
        </w:rPr>
        <w:t>Readout Electronics</w:t>
      </w:r>
      <w:r w:rsidRPr="00206ECD">
        <w:rPr>
          <w:rStyle w:val="apple-converted-space"/>
          <w:rFonts w:ascii="Times New Roman" w:hAnsi="Times New Roman" w:cs="Times New Roman"/>
          <w:color w:val="000000"/>
          <w:sz w:val="24"/>
          <w:szCs w:val="24"/>
        </w:rPr>
        <w:t> </w:t>
      </w:r>
      <w:r w:rsidRPr="00206ECD">
        <w:rPr>
          <w:rFonts w:ascii="Times New Roman" w:hAnsi="Times New Roman" w:cs="Times New Roman"/>
          <w:color w:val="000000"/>
          <w:sz w:val="24"/>
          <w:szCs w:val="24"/>
        </w:rPr>
        <w:t xml:space="preserve">chapter provides a comprehensive description of the common electronics systems across the various detectors, focusing on the data stream architecture and power distribution. It also </w:t>
      </w:r>
      <w:proofErr w:type="spellStart"/>
      <w:r w:rsidRPr="00206ECD">
        <w:rPr>
          <w:rFonts w:ascii="Times New Roman" w:hAnsi="Times New Roman" w:cs="Times New Roman"/>
          <w:color w:val="000000"/>
          <w:sz w:val="24"/>
          <w:szCs w:val="24"/>
        </w:rPr>
        <w:t>summarises</w:t>
      </w:r>
      <w:proofErr w:type="spellEnd"/>
      <w:r w:rsidRPr="00206ECD">
        <w:rPr>
          <w:rFonts w:ascii="Times New Roman" w:hAnsi="Times New Roman" w:cs="Times New Roman"/>
          <w:color w:val="000000"/>
          <w:sz w:val="24"/>
          <w:szCs w:val="24"/>
        </w:rPr>
        <w:t xml:space="preserve"> the different Front-End ASICs, which are described in greater detail in each detector section, presenting their schedules, manpower allocation, and current </w:t>
      </w:r>
      <w:r w:rsidRPr="00206ECD">
        <w:rPr>
          <w:rFonts w:ascii="Times New Roman" w:hAnsi="Times New Roman" w:cs="Times New Roman"/>
          <w:color w:val="000000"/>
          <w:sz w:val="24"/>
          <w:szCs w:val="24"/>
        </w:rPr>
        <w:lastRenderedPageBreak/>
        <w:t>development status. Overall, the chapter gives a clear and coherent overview of the electronics effort within the project.</w:t>
      </w:r>
    </w:p>
    <w:p w14:paraId="09DFBB98" w14:textId="6560B289" w:rsidR="00556DE5" w:rsidRPr="00356E4A" w:rsidRDefault="00000000" w:rsidP="00206ECD">
      <w:pPr>
        <w:pStyle w:val="Heading3"/>
        <w:keepNext w:val="0"/>
        <w:keepLines w:val="0"/>
        <w:spacing w:before="280"/>
        <w:jc w:val="both"/>
        <w:rPr>
          <w:b/>
          <w:bCs/>
        </w:rPr>
      </w:pPr>
      <w:r w:rsidRPr="00356E4A">
        <w:rPr>
          <w:b/>
          <w:bCs/>
        </w:rPr>
        <w:t>Comments</w:t>
      </w:r>
    </w:p>
    <w:p w14:paraId="21AEC801" w14:textId="77777777" w:rsidR="00206ECD" w:rsidRPr="00206ECD" w:rsidRDefault="00206ECD" w:rsidP="00171CEF">
      <w:pPr>
        <w:pStyle w:val="NormalWeb"/>
        <w:spacing w:line="276" w:lineRule="auto"/>
        <w:jc w:val="both"/>
        <w:rPr>
          <w:color w:val="000000"/>
        </w:rPr>
      </w:pPr>
      <w:bookmarkStart w:id="13" w:name="_o4nced306fq5" w:colFirst="0" w:colLast="0"/>
      <w:bookmarkEnd w:id="13"/>
      <w:r w:rsidRPr="00206ECD">
        <w:rPr>
          <w:color w:val="000000"/>
        </w:rPr>
        <w:t>The committee appreciates that</w:t>
      </w:r>
      <w:r w:rsidRPr="00054CE7">
        <w:rPr>
          <w:color w:val="000000"/>
        </w:rPr>
        <w:t xml:space="preserve"> the</w:t>
      </w:r>
      <w:r w:rsidRPr="00206ECD">
        <w:rPr>
          <w:rStyle w:val="apple-converted-space"/>
          <w:b/>
          <w:bCs/>
          <w:color w:val="000000"/>
        </w:rPr>
        <w:t> </w:t>
      </w:r>
      <w:r w:rsidRPr="00206ECD">
        <w:rPr>
          <w:rStyle w:val="Strong"/>
          <w:b w:val="0"/>
          <w:bCs w:val="0"/>
          <w:color w:val="000000"/>
        </w:rPr>
        <w:t>previous recommendations have been thoroughly addressed</w:t>
      </w:r>
      <w:r w:rsidRPr="00206ECD">
        <w:rPr>
          <w:color w:val="000000"/>
        </w:rPr>
        <w:t>. The chapter is now better structured, clearly written, and provides a logical and well-organised account of the electronics programme. The detector requirements are explicitly identified, and the path toward production is well defined, even though several ASICs still require additional development steps.</w:t>
      </w:r>
    </w:p>
    <w:p w14:paraId="493BA308" w14:textId="77777777" w:rsidR="00206ECD" w:rsidRPr="00206ECD" w:rsidRDefault="00206ECD" w:rsidP="00171CEF">
      <w:pPr>
        <w:pStyle w:val="NormalWeb"/>
        <w:spacing w:line="276" w:lineRule="auto"/>
        <w:jc w:val="both"/>
        <w:rPr>
          <w:color w:val="000000"/>
        </w:rPr>
      </w:pPr>
      <w:r w:rsidRPr="00206ECD">
        <w:rPr>
          <w:color w:val="000000"/>
        </w:rPr>
        <w:t>Significant progress has been made since the last review, with the</w:t>
      </w:r>
      <w:r w:rsidRPr="00206ECD">
        <w:rPr>
          <w:rStyle w:val="apple-converted-space"/>
          <w:color w:val="000000"/>
        </w:rPr>
        <w:t> </w:t>
      </w:r>
      <w:r w:rsidRPr="00206ECD">
        <w:rPr>
          <w:rStyle w:val="Strong"/>
          <w:b w:val="0"/>
          <w:bCs w:val="0"/>
          <w:color w:val="000000"/>
        </w:rPr>
        <w:t>fabrication and testing of multiple prototype chips</w:t>
      </w:r>
      <w:r w:rsidRPr="00206ECD">
        <w:rPr>
          <w:b/>
          <w:bCs/>
          <w:color w:val="000000"/>
        </w:rPr>
        <w:t>,</w:t>
      </w:r>
      <w:r w:rsidRPr="00206ECD">
        <w:rPr>
          <w:color w:val="000000"/>
        </w:rPr>
        <w:t xml:space="preserve"> and further submissions already planned. Promising preliminary measurement results were presented; including some of these in the Ref-TDR would effectively demonstrate that functional prototype circuits exist and have been validated.</w:t>
      </w:r>
    </w:p>
    <w:p w14:paraId="0FEA4D7D" w14:textId="77777777" w:rsidR="00206ECD" w:rsidRPr="00206ECD" w:rsidRDefault="00206ECD" w:rsidP="00171CEF">
      <w:pPr>
        <w:pStyle w:val="NormalWeb"/>
        <w:spacing w:line="276" w:lineRule="auto"/>
        <w:jc w:val="both"/>
        <w:rPr>
          <w:color w:val="000000"/>
        </w:rPr>
      </w:pPr>
      <w:r w:rsidRPr="00206ECD">
        <w:rPr>
          <w:color w:val="000000"/>
        </w:rPr>
        <w:t xml:space="preserve">The adoption of </w:t>
      </w:r>
      <w:r w:rsidRPr="00054CE7">
        <w:rPr>
          <w:color w:val="000000"/>
        </w:rPr>
        <w:t>a</w:t>
      </w:r>
      <w:r w:rsidRPr="00206ECD">
        <w:rPr>
          <w:rStyle w:val="apple-converted-space"/>
          <w:b/>
          <w:bCs/>
          <w:color w:val="000000"/>
        </w:rPr>
        <w:t> </w:t>
      </w:r>
      <w:r w:rsidRPr="00206ECD">
        <w:rPr>
          <w:rStyle w:val="Strong"/>
          <w:b w:val="0"/>
          <w:bCs w:val="0"/>
          <w:color w:val="000000"/>
        </w:rPr>
        <w:t>common fabrication technology (SMIC 55 nm)</w:t>
      </w:r>
      <w:r w:rsidRPr="00206ECD">
        <w:rPr>
          <w:rStyle w:val="apple-converted-space"/>
          <w:color w:val="000000"/>
        </w:rPr>
        <w:t> </w:t>
      </w:r>
      <w:r w:rsidRPr="00206ECD">
        <w:rPr>
          <w:color w:val="000000"/>
        </w:rPr>
        <w:t>for most ASICs is a sound and efficient choice. It facilitates the sharing of circuit building blocks, the transfer of design expertise, and coherent verification strategies. Nevertheless, it is recommended to</w:t>
      </w:r>
      <w:r w:rsidRPr="00206ECD">
        <w:rPr>
          <w:rStyle w:val="apple-converted-space"/>
          <w:color w:val="000000"/>
        </w:rPr>
        <w:t> </w:t>
      </w:r>
      <w:r w:rsidRPr="00206ECD">
        <w:rPr>
          <w:rStyle w:val="Strong"/>
          <w:b w:val="0"/>
          <w:bCs w:val="0"/>
          <w:color w:val="000000"/>
        </w:rPr>
        <w:t>monitor the radiation performance</w:t>
      </w:r>
      <w:r w:rsidRPr="00206ECD">
        <w:rPr>
          <w:rStyle w:val="apple-converted-space"/>
          <w:b/>
          <w:bCs/>
          <w:color w:val="000000"/>
        </w:rPr>
        <w:t> </w:t>
      </w:r>
      <w:r w:rsidRPr="00206ECD">
        <w:rPr>
          <w:color w:val="000000"/>
        </w:rPr>
        <w:t>of this process—following the approach adopted by CERN for TSMC technologies—to ensure robustness under expected operating conditions. In particular,</w:t>
      </w:r>
      <w:r w:rsidRPr="00206ECD">
        <w:rPr>
          <w:rStyle w:val="apple-converted-space"/>
          <w:color w:val="000000"/>
        </w:rPr>
        <w:t> </w:t>
      </w:r>
      <w:r w:rsidRPr="00206ECD">
        <w:rPr>
          <w:rStyle w:val="Strong"/>
          <w:b w:val="0"/>
          <w:bCs w:val="0"/>
          <w:color w:val="000000"/>
        </w:rPr>
        <w:t>migrating the TEPIX chip</w:t>
      </w:r>
      <w:r w:rsidRPr="00206ECD">
        <w:rPr>
          <w:rStyle w:val="apple-converted-space"/>
          <w:color w:val="000000"/>
        </w:rPr>
        <w:t> </w:t>
      </w:r>
      <w:r w:rsidRPr="00206ECD">
        <w:rPr>
          <w:color w:val="000000"/>
        </w:rPr>
        <w:t>from the current TSMC 180 nm to SMIC 55 nm would be advantageous.</w:t>
      </w:r>
    </w:p>
    <w:p w14:paraId="2AAB773F" w14:textId="77777777" w:rsidR="00206ECD" w:rsidRPr="00206ECD" w:rsidRDefault="00206ECD" w:rsidP="00171CEF">
      <w:pPr>
        <w:pStyle w:val="NormalWeb"/>
        <w:spacing w:line="276" w:lineRule="auto"/>
        <w:jc w:val="both"/>
        <w:rPr>
          <w:color w:val="000000"/>
        </w:rPr>
      </w:pPr>
      <w:r w:rsidRPr="00206ECD">
        <w:rPr>
          <w:color w:val="000000"/>
        </w:rPr>
        <w:t>The responsibilities for each ASIC development are now clearly defined. The</w:t>
      </w:r>
      <w:r w:rsidRPr="00206ECD">
        <w:rPr>
          <w:rStyle w:val="apple-converted-space"/>
          <w:color w:val="000000"/>
        </w:rPr>
        <w:t> </w:t>
      </w:r>
      <w:r w:rsidRPr="00206ECD">
        <w:rPr>
          <w:rStyle w:val="Strong"/>
          <w:b w:val="0"/>
          <w:bCs w:val="0"/>
          <w:color w:val="000000"/>
        </w:rPr>
        <w:t>remaining milestones and intermediate steps</w:t>
      </w:r>
      <w:r w:rsidRPr="00206ECD">
        <w:rPr>
          <w:rStyle w:val="apple-converted-space"/>
          <w:color w:val="000000"/>
        </w:rPr>
        <w:t> </w:t>
      </w:r>
      <w:r w:rsidRPr="00206ECD">
        <w:rPr>
          <w:color w:val="000000"/>
        </w:rPr>
        <w:t>are summarised in Table 11.26; however, this table is quite dense and could benefit from simplification or reformatting for improved readability.</w:t>
      </w:r>
    </w:p>
    <w:p w14:paraId="0F0A86A1" w14:textId="77777777" w:rsidR="00206ECD" w:rsidRPr="00206ECD" w:rsidRDefault="00206ECD" w:rsidP="00171CEF">
      <w:pPr>
        <w:pStyle w:val="NormalWeb"/>
        <w:spacing w:line="276" w:lineRule="auto"/>
        <w:jc w:val="both"/>
        <w:rPr>
          <w:color w:val="000000"/>
        </w:rPr>
      </w:pPr>
      <w:r w:rsidRPr="00206ECD">
        <w:rPr>
          <w:color w:val="000000"/>
        </w:rPr>
        <w:t>A technical clarification is also needed regarding</w:t>
      </w:r>
      <w:r w:rsidRPr="00206ECD">
        <w:rPr>
          <w:rStyle w:val="apple-converted-space"/>
          <w:color w:val="000000"/>
        </w:rPr>
        <w:t> </w:t>
      </w:r>
      <w:r w:rsidRPr="00206ECD">
        <w:rPr>
          <w:rStyle w:val="Strong"/>
          <w:b w:val="0"/>
          <w:bCs w:val="0"/>
          <w:color w:val="000000"/>
        </w:rPr>
        <w:t>Table 5.12</w:t>
      </w:r>
      <w:r w:rsidRPr="00206ECD">
        <w:rPr>
          <w:color w:val="000000"/>
        </w:rPr>
        <w:t xml:space="preserve">, where the minimum threshold is given as 4 </w:t>
      </w:r>
      <w:proofErr w:type="spellStart"/>
      <w:r w:rsidRPr="00206ECD">
        <w:rPr>
          <w:color w:val="000000"/>
        </w:rPr>
        <w:t>fC</w:t>
      </w:r>
      <w:proofErr w:type="spellEnd"/>
      <w:r w:rsidRPr="00206ECD">
        <w:rPr>
          <w:color w:val="000000"/>
        </w:rPr>
        <w:t xml:space="preserve"> while the noise is specified as 1.5 </w:t>
      </w:r>
      <w:proofErr w:type="spellStart"/>
      <w:r w:rsidRPr="00206ECD">
        <w:rPr>
          <w:color w:val="000000"/>
        </w:rPr>
        <w:t>fC</w:t>
      </w:r>
      <w:proofErr w:type="spellEnd"/>
      <w:r w:rsidRPr="00206ECD">
        <w:rPr>
          <w:color w:val="000000"/>
        </w:rPr>
        <w:t xml:space="preserve">. Typically, the minimum threshold should be at least five—and ideally ten—times the noise. Either the noise value is too high (a figure around 0.3 </w:t>
      </w:r>
      <w:proofErr w:type="spellStart"/>
      <w:r w:rsidRPr="00206ECD">
        <w:rPr>
          <w:color w:val="000000"/>
        </w:rPr>
        <w:t>fC</w:t>
      </w:r>
      <w:proofErr w:type="spellEnd"/>
      <w:r w:rsidRPr="00206ECD">
        <w:rPr>
          <w:color w:val="000000"/>
        </w:rPr>
        <w:t xml:space="preserve"> should be achievable), or the minimum threshold is underestimated.</w:t>
      </w:r>
    </w:p>
    <w:p w14:paraId="5926CD39" w14:textId="39478C5C" w:rsidR="00556DE5" w:rsidRPr="00356E4A" w:rsidRDefault="00000000" w:rsidP="00206ECD">
      <w:pPr>
        <w:pStyle w:val="Heading3"/>
        <w:keepNext w:val="0"/>
        <w:keepLines w:val="0"/>
        <w:spacing w:before="280"/>
        <w:jc w:val="both"/>
        <w:rPr>
          <w:b/>
          <w:color w:val="000000"/>
        </w:rPr>
      </w:pPr>
      <w:r w:rsidRPr="00356E4A">
        <w:rPr>
          <w:b/>
          <w:color w:val="000000"/>
        </w:rPr>
        <w:t>Recommendations</w:t>
      </w:r>
    </w:p>
    <w:p w14:paraId="17DB7944" w14:textId="298EB5AF" w:rsidR="00206ECD" w:rsidRPr="00206ECD" w:rsidRDefault="00206ECD" w:rsidP="00171CEF">
      <w:pPr>
        <w:pStyle w:val="NormalWeb"/>
        <w:numPr>
          <w:ilvl w:val="0"/>
          <w:numId w:val="38"/>
        </w:numPr>
        <w:spacing w:line="276" w:lineRule="auto"/>
        <w:jc w:val="both"/>
        <w:rPr>
          <w:color w:val="000000"/>
        </w:rPr>
      </w:pPr>
      <w:r w:rsidRPr="00206ECD">
        <w:rPr>
          <w:rStyle w:val="Strong"/>
          <w:b w:val="0"/>
          <w:bCs w:val="0"/>
          <w:color w:val="000000"/>
        </w:rPr>
        <w:t>Clarify the chip development plan</w:t>
      </w:r>
      <w:r w:rsidRPr="00206ECD">
        <w:rPr>
          <w:rStyle w:val="apple-converted-space"/>
          <w:color w:val="000000"/>
        </w:rPr>
        <w:t> </w:t>
      </w:r>
      <w:r w:rsidRPr="00206ECD">
        <w:rPr>
          <w:color w:val="000000"/>
        </w:rPr>
        <w:t xml:space="preserve">by identifying the different versions of each ASIC, specifying which version corresponds to the final size and functionality, and indicating the expected timeline. </w:t>
      </w:r>
    </w:p>
    <w:p w14:paraId="59C7D6C8" w14:textId="77777777" w:rsidR="00206ECD" w:rsidRPr="00206ECD" w:rsidRDefault="00206ECD" w:rsidP="00171CEF">
      <w:pPr>
        <w:pStyle w:val="NormalWeb"/>
        <w:numPr>
          <w:ilvl w:val="0"/>
          <w:numId w:val="38"/>
        </w:numPr>
        <w:spacing w:line="276" w:lineRule="auto"/>
        <w:jc w:val="both"/>
        <w:rPr>
          <w:color w:val="000000"/>
        </w:rPr>
      </w:pPr>
      <w:r w:rsidRPr="00206ECD">
        <w:rPr>
          <w:rStyle w:val="Strong"/>
          <w:b w:val="0"/>
          <w:bCs w:val="0"/>
          <w:color w:val="000000"/>
        </w:rPr>
        <w:t>Provide a detailed timeline</w:t>
      </w:r>
      <w:r w:rsidRPr="00206ECD">
        <w:rPr>
          <w:rStyle w:val="apple-converted-space"/>
          <w:color w:val="000000"/>
        </w:rPr>
        <w:t> </w:t>
      </w:r>
      <w:r w:rsidRPr="00206ECD">
        <w:rPr>
          <w:color w:val="000000"/>
        </w:rPr>
        <w:t>for testing, iteration, and qualification of the final prototypes, including expected milestones.</w:t>
      </w:r>
    </w:p>
    <w:p w14:paraId="62878F85" w14:textId="77777777" w:rsidR="00206ECD" w:rsidRPr="00206ECD" w:rsidRDefault="00206ECD" w:rsidP="00171CEF">
      <w:pPr>
        <w:pStyle w:val="NormalWeb"/>
        <w:numPr>
          <w:ilvl w:val="0"/>
          <w:numId w:val="38"/>
        </w:numPr>
        <w:spacing w:line="276" w:lineRule="auto"/>
        <w:jc w:val="both"/>
        <w:rPr>
          <w:color w:val="000000"/>
        </w:rPr>
      </w:pPr>
      <w:r w:rsidRPr="00206ECD">
        <w:rPr>
          <w:rStyle w:val="Strong"/>
          <w:b w:val="0"/>
          <w:bCs w:val="0"/>
          <w:color w:val="000000"/>
        </w:rPr>
        <w:t>Define the schedule for formal review stages</w:t>
      </w:r>
      <w:r w:rsidRPr="00206ECD">
        <w:rPr>
          <w:color w:val="000000"/>
        </w:rPr>
        <w:t>, including the Final Design Review (FDR) and Production Readiness Review (PRR).</w:t>
      </w:r>
    </w:p>
    <w:p w14:paraId="0599CB7E" w14:textId="77777777" w:rsidR="00206ECD" w:rsidRPr="00206ECD" w:rsidRDefault="00206ECD" w:rsidP="00171CEF">
      <w:pPr>
        <w:pStyle w:val="NormalWeb"/>
        <w:numPr>
          <w:ilvl w:val="0"/>
          <w:numId w:val="38"/>
        </w:numPr>
        <w:spacing w:line="276" w:lineRule="auto"/>
        <w:jc w:val="both"/>
        <w:rPr>
          <w:color w:val="000000"/>
        </w:rPr>
      </w:pPr>
      <w:r w:rsidRPr="00206ECD">
        <w:rPr>
          <w:rStyle w:val="Strong"/>
          <w:b w:val="0"/>
          <w:bCs w:val="0"/>
          <w:color w:val="000000"/>
        </w:rPr>
        <w:lastRenderedPageBreak/>
        <w:t>Identify an independent verification team</w:t>
      </w:r>
      <w:r w:rsidRPr="00206ECD">
        <w:rPr>
          <w:color w:val="000000"/>
        </w:rPr>
        <w:t>—particularly for the digital design components—to ensure comprehensive coverage. Employ modern verification methodologies and tools to manage the increasing complexity of the ASICs.</w:t>
      </w:r>
    </w:p>
    <w:p w14:paraId="28EC0E97" w14:textId="3EE1E8CB" w:rsidR="00206ECD" w:rsidRPr="00206ECD" w:rsidRDefault="00206ECD" w:rsidP="00171CEF">
      <w:pPr>
        <w:pStyle w:val="NormalWeb"/>
        <w:numPr>
          <w:ilvl w:val="0"/>
          <w:numId w:val="38"/>
        </w:numPr>
        <w:spacing w:line="276" w:lineRule="auto"/>
        <w:jc w:val="both"/>
        <w:rPr>
          <w:color w:val="000000"/>
        </w:rPr>
      </w:pPr>
      <w:r w:rsidRPr="00206ECD">
        <w:rPr>
          <w:rStyle w:val="Strong"/>
          <w:b w:val="0"/>
          <w:bCs w:val="0"/>
          <w:color w:val="000000"/>
        </w:rPr>
        <w:t>Monitor and benchmark the radiation performance</w:t>
      </w:r>
      <w:r w:rsidRPr="00206ECD">
        <w:rPr>
          <w:rStyle w:val="apple-converted-space"/>
          <w:color w:val="000000"/>
        </w:rPr>
        <w:t> </w:t>
      </w:r>
      <w:r w:rsidRPr="00206ECD">
        <w:rPr>
          <w:color w:val="000000"/>
        </w:rPr>
        <w:t xml:space="preserve">of the SMIC 55 nm process using </w:t>
      </w:r>
      <w:r w:rsidR="006128E6" w:rsidRPr="00206ECD">
        <w:rPr>
          <w:color w:val="000000"/>
        </w:rPr>
        <w:t>small, dedicated</w:t>
      </w:r>
      <w:r w:rsidRPr="00206ECD">
        <w:rPr>
          <w:color w:val="000000"/>
        </w:rPr>
        <w:t xml:space="preserve"> test chips submitted alongside each ASIC production batch.</w:t>
      </w:r>
    </w:p>
    <w:p w14:paraId="3AC7E4E8" w14:textId="304B314F" w:rsidR="00556DE5" w:rsidRPr="00C3496D" w:rsidRDefault="00000000" w:rsidP="00C3496D">
      <w:pPr>
        <w:pStyle w:val="Heading1"/>
      </w:pPr>
      <w:bookmarkStart w:id="14" w:name="_yj4urq3wvo8g" w:colFirst="0" w:colLast="0"/>
      <w:bookmarkEnd w:id="14"/>
      <w:r w:rsidRPr="00C3496D">
        <w:t>Trigger and Data Acquisition</w:t>
      </w:r>
    </w:p>
    <w:p w14:paraId="21A562B0" w14:textId="77777777" w:rsidR="00556DE5" w:rsidRPr="004858DC" w:rsidRDefault="00000000">
      <w:pPr>
        <w:jc w:val="both"/>
        <w:rPr>
          <w:b/>
          <w:sz w:val="28"/>
          <w:szCs w:val="28"/>
        </w:rPr>
      </w:pPr>
      <w:r w:rsidRPr="004858DC">
        <w:rPr>
          <w:b/>
          <w:sz w:val="28"/>
          <w:szCs w:val="28"/>
        </w:rPr>
        <w:t>Assessment</w:t>
      </w:r>
    </w:p>
    <w:p w14:paraId="1792D115" w14:textId="77777777" w:rsidR="004858DC" w:rsidRDefault="004858DC" w:rsidP="00171CEF">
      <w:pPr>
        <w:pStyle w:val="NormalWeb"/>
        <w:spacing w:line="276" w:lineRule="auto"/>
        <w:jc w:val="both"/>
        <w:rPr>
          <w:color w:val="000000"/>
        </w:rPr>
      </w:pPr>
      <w:bookmarkStart w:id="15" w:name="_ko0yjru91sau" w:colFirst="0" w:colLast="0"/>
      <w:bookmarkEnd w:id="15"/>
      <w:r>
        <w:rPr>
          <w:color w:val="000000"/>
        </w:rPr>
        <w:t>The</w:t>
      </w:r>
      <w:r>
        <w:rPr>
          <w:rStyle w:val="apple-converted-space"/>
          <w:color w:val="000000"/>
        </w:rPr>
        <w:t> </w:t>
      </w:r>
      <w:r w:rsidRPr="004858DC">
        <w:rPr>
          <w:rStyle w:val="Strong"/>
          <w:b w:val="0"/>
          <w:bCs w:val="0"/>
          <w:color w:val="000000"/>
        </w:rPr>
        <w:t>TDAQ chapter</w:t>
      </w:r>
      <w:r>
        <w:rPr>
          <w:rStyle w:val="apple-converted-space"/>
          <w:color w:val="000000"/>
        </w:rPr>
        <w:t> </w:t>
      </w:r>
      <w:r>
        <w:rPr>
          <w:color w:val="000000"/>
        </w:rPr>
        <w:t>provides a clear and well-structured description of the design and architecture of the</w:t>
      </w:r>
      <w:r>
        <w:rPr>
          <w:rStyle w:val="apple-converted-space"/>
          <w:color w:val="000000"/>
        </w:rPr>
        <w:t> </w:t>
      </w:r>
      <w:r w:rsidRPr="004858DC">
        <w:rPr>
          <w:rStyle w:val="Strong"/>
          <w:b w:val="0"/>
          <w:bCs w:val="0"/>
          <w:color w:val="000000"/>
        </w:rPr>
        <w:t>hardware Level-1 (L1)</w:t>
      </w:r>
      <w:r>
        <w:rPr>
          <w:rStyle w:val="apple-converted-space"/>
          <w:color w:val="000000"/>
        </w:rPr>
        <w:t> </w:t>
      </w:r>
      <w:r>
        <w:rPr>
          <w:color w:val="000000"/>
        </w:rPr>
        <w:t>and</w:t>
      </w:r>
      <w:r>
        <w:rPr>
          <w:rStyle w:val="apple-converted-space"/>
          <w:color w:val="000000"/>
        </w:rPr>
        <w:t> </w:t>
      </w:r>
      <w:r w:rsidRPr="004858DC">
        <w:rPr>
          <w:rStyle w:val="Strong"/>
          <w:b w:val="0"/>
          <w:bCs w:val="0"/>
          <w:color w:val="000000"/>
        </w:rPr>
        <w:t>software High-Level Trigger (HLT)</w:t>
      </w:r>
      <w:r>
        <w:rPr>
          <w:rStyle w:val="apple-converted-space"/>
          <w:color w:val="000000"/>
        </w:rPr>
        <w:t> </w:t>
      </w:r>
      <w:r>
        <w:rPr>
          <w:color w:val="000000"/>
        </w:rPr>
        <w:t>systems, the</w:t>
      </w:r>
      <w:r>
        <w:rPr>
          <w:rStyle w:val="apple-converted-space"/>
          <w:color w:val="000000"/>
        </w:rPr>
        <w:t> </w:t>
      </w:r>
      <w:r w:rsidRPr="004858DC">
        <w:rPr>
          <w:rStyle w:val="Strong"/>
          <w:b w:val="0"/>
          <w:bCs w:val="0"/>
          <w:color w:val="000000"/>
        </w:rPr>
        <w:t>data acquisition (DAQ)</w:t>
      </w:r>
      <w:r w:rsidRPr="004858DC">
        <w:rPr>
          <w:rStyle w:val="apple-converted-space"/>
          <w:b/>
          <w:bCs/>
          <w:color w:val="000000"/>
        </w:rPr>
        <w:t> </w:t>
      </w:r>
      <w:r>
        <w:rPr>
          <w:color w:val="000000"/>
        </w:rPr>
        <w:t>system, and the</w:t>
      </w:r>
      <w:r>
        <w:rPr>
          <w:rStyle w:val="apple-converted-space"/>
          <w:color w:val="000000"/>
        </w:rPr>
        <w:t> </w:t>
      </w:r>
      <w:r w:rsidRPr="004858DC">
        <w:rPr>
          <w:rStyle w:val="Strong"/>
          <w:b w:val="0"/>
          <w:bCs w:val="0"/>
          <w:color w:val="000000"/>
        </w:rPr>
        <w:t>experiment control and monitoring</w:t>
      </w:r>
      <w:r>
        <w:rPr>
          <w:rStyle w:val="apple-converted-space"/>
          <w:color w:val="000000"/>
        </w:rPr>
        <w:t> </w:t>
      </w:r>
      <w:r>
        <w:rPr>
          <w:color w:val="000000"/>
        </w:rPr>
        <w:t>framework. It also presents</w:t>
      </w:r>
      <w:r>
        <w:rPr>
          <w:rStyle w:val="apple-converted-space"/>
          <w:color w:val="000000"/>
        </w:rPr>
        <w:t> </w:t>
      </w:r>
      <w:r w:rsidRPr="004858DC">
        <w:rPr>
          <w:rStyle w:val="Strong"/>
          <w:b w:val="0"/>
          <w:bCs w:val="0"/>
          <w:color w:val="000000"/>
        </w:rPr>
        <w:t>performance studies</w:t>
      </w:r>
      <w:r>
        <w:rPr>
          <w:rStyle w:val="apple-converted-space"/>
          <w:color w:val="000000"/>
        </w:rPr>
        <w:t> </w:t>
      </w:r>
      <w:r>
        <w:rPr>
          <w:color w:val="000000"/>
        </w:rPr>
        <w:t>of calorimeter- and muon-based L1 triggers, along with an initial study of a track-based trigger.</w:t>
      </w:r>
    </w:p>
    <w:p w14:paraId="766BE007" w14:textId="77777777" w:rsidR="004858DC" w:rsidRDefault="004858DC" w:rsidP="00171CEF">
      <w:pPr>
        <w:pStyle w:val="NormalWeb"/>
        <w:spacing w:line="276" w:lineRule="auto"/>
        <w:jc w:val="both"/>
        <w:rPr>
          <w:color w:val="000000"/>
        </w:rPr>
      </w:pPr>
      <w:r>
        <w:rPr>
          <w:color w:val="000000"/>
        </w:rPr>
        <w:t>The overall logic and structure of the chapter are sound. The key assumptions are clearly stated and consistently linked to related sections of the Ref-TDR. Considerable progress has been made in refining the</w:t>
      </w:r>
      <w:r>
        <w:rPr>
          <w:rStyle w:val="apple-converted-space"/>
          <w:color w:val="000000"/>
        </w:rPr>
        <w:t> </w:t>
      </w:r>
      <w:r w:rsidRPr="004858DC">
        <w:rPr>
          <w:rStyle w:val="Strong"/>
          <w:b w:val="0"/>
          <w:bCs w:val="0"/>
          <w:color w:val="000000"/>
        </w:rPr>
        <w:t>data rates, event sizes, and total data volumes</w:t>
      </w:r>
      <w:r>
        <w:rPr>
          <w:rStyle w:val="apple-converted-space"/>
          <w:color w:val="000000"/>
        </w:rPr>
        <w:t> </w:t>
      </w:r>
      <w:r>
        <w:rPr>
          <w:color w:val="000000"/>
        </w:rPr>
        <w:t>at each processing stage, with safety factors applied in a coherent and traceable manner.</w:t>
      </w:r>
    </w:p>
    <w:p w14:paraId="237E5EBC" w14:textId="77777777" w:rsidR="004858DC" w:rsidRDefault="004858DC" w:rsidP="00171CEF">
      <w:pPr>
        <w:pStyle w:val="NormalWeb"/>
        <w:spacing w:line="276" w:lineRule="auto"/>
        <w:jc w:val="both"/>
        <w:rPr>
          <w:color w:val="000000"/>
        </w:rPr>
      </w:pPr>
      <w:r>
        <w:rPr>
          <w:color w:val="000000"/>
        </w:rPr>
        <w:t>The design is based on a</w:t>
      </w:r>
      <w:r>
        <w:rPr>
          <w:rStyle w:val="apple-converted-space"/>
          <w:color w:val="000000"/>
        </w:rPr>
        <w:t> </w:t>
      </w:r>
      <w:r w:rsidRPr="004858DC">
        <w:rPr>
          <w:rStyle w:val="Strong"/>
          <w:b w:val="0"/>
          <w:bCs w:val="0"/>
          <w:color w:val="000000"/>
        </w:rPr>
        <w:t>triggerless front-end architecture</w:t>
      </w:r>
      <w:r>
        <w:rPr>
          <w:color w:val="000000"/>
        </w:rPr>
        <w:t>, in which all events are read out to the back-end electronics for buffering. A</w:t>
      </w:r>
      <w:r>
        <w:rPr>
          <w:rStyle w:val="apple-converted-space"/>
          <w:color w:val="000000"/>
        </w:rPr>
        <w:t> </w:t>
      </w:r>
      <w:r w:rsidRPr="004858DC">
        <w:rPr>
          <w:rStyle w:val="Strong"/>
          <w:b w:val="0"/>
          <w:bCs w:val="0"/>
          <w:color w:val="000000"/>
        </w:rPr>
        <w:t>three-level trigger system</w:t>
      </w:r>
      <w:r>
        <w:rPr>
          <w:color w:val="000000"/>
        </w:rPr>
        <w:t>, built around a common custom trigger board, receives trigger primitives from the back-end electronics and combines them through successive local and global stages. The bandwidth and performance requirements of the system are designed to be scalable, accommodating the different running modes of the accelerator and future increases in data rates.</w:t>
      </w:r>
    </w:p>
    <w:p w14:paraId="4205253E" w14:textId="77777777" w:rsidR="004858DC" w:rsidRDefault="004858DC" w:rsidP="00171CEF">
      <w:pPr>
        <w:pStyle w:val="NormalWeb"/>
        <w:spacing w:line="276" w:lineRule="auto"/>
        <w:jc w:val="both"/>
        <w:rPr>
          <w:color w:val="000000"/>
        </w:rPr>
      </w:pPr>
      <w:r>
        <w:rPr>
          <w:color w:val="000000"/>
        </w:rPr>
        <w:t>The</w:t>
      </w:r>
      <w:r>
        <w:rPr>
          <w:rStyle w:val="apple-converted-space"/>
          <w:color w:val="000000"/>
        </w:rPr>
        <w:t> </w:t>
      </w:r>
      <w:r w:rsidRPr="004858DC">
        <w:rPr>
          <w:rStyle w:val="Strong"/>
          <w:b w:val="0"/>
          <w:bCs w:val="0"/>
          <w:color w:val="000000"/>
        </w:rPr>
        <w:t>DAQ system</w:t>
      </w:r>
      <w:r>
        <w:rPr>
          <w:rStyle w:val="apple-converted-space"/>
          <w:color w:val="000000"/>
        </w:rPr>
        <w:t> </w:t>
      </w:r>
      <w:r>
        <w:rPr>
          <w:color w:val="000000"/>
        </w:rPr>
        <w:t>employs a</w:t>
      </w:r>
      <w:r>
        <w:rPr>
          <w:rStyle w:val="apple-converted-space"/>
          <w:color w:val="000000"/>
        </w:rPr>
        <w:t> </w:t>
      </w:r>
      <w:r w:rsidRPr="004858DC">
        <w:rPr>
          <w:rStyle w:val="Strong"/>
          <w:b w:val="0"/>
          <w:bCs w:val="0"/>
          <w:color w:val="000000"/>
        </w:rPr>
        <w:t>two-stage architecture</w:t>
      </w:r>
      <w:r>
        <w:rPr>
          <w:color w:val="000000"/>
        </w:rPr>
        <w:t>: the first layer focuses on fast, efficient algorithm execution and event filtering, while the second performs more complex, high-precision reconstruction algorithms. The architecture allows for flexible deployment of heterogeneous computing resources—CPUs, GPUs, and FPGAs—ensuring optimal performance and cost-effectiveness.</w:t>
      </w:r>
    </w:p>
    <w:p w14:paraId="5A729849" w14:textId="77777777" w:rsidR="004858DC" w:rsidRDefault="004858DC" w:rsidP="00171CEF">
      <w:pPr>
        <w:pStyle w:val="NormalWeb"/>
        <w:spacing w:line="276" w:lineRule="auto"/>
        <w:jc w:val="both"/>
        <w:rPr>
          <w:color w:val="000000"/>
        </w:rPr>
      </w:pPr>
      <w:r>
        <w:rPr>
          <w:color w:val="000000"/>
        </w:rPr>
        <w:t>The</w:t>
      </w:r>
      <w:r>
        <w:rPr>
          <w:rStyle w:val="apple-converted-space"/>
          <w:color w:val="000000"/>
        </w:rPr>
        <w:t> </w:t>
      </w:r>
      <w:r w:rsidRPr="004858DC">
        <w:rPr>
          <w:rStyle w:val="Strong"/>
          <w:b w:val="0"/>
          <w:bCs w:val="0"/>
          <w:color w:val="000000"/>
        </w:rPr>
        <w:t>detector control and monitoring system</w:t>
      </w:r>
      <w:r>
        <w:rPr>
          <w:color w:val="000000"/>
        </w:rPr>
        <w:t>, which will manage over 500,000 parameters, is based on proven concepts. Similarly, the</w:t>
      </w:r>
      <w:r>
        <w:rPr>
          <w:rStyle w:val="apple-converted-space"/>
          <w:color w:val="000000"/>
        </w:rPr>
        <w:t> </w:t>
      </w:r>
      <w:r w:rsidRPr="004858DC">
        <w:rPr>
          <w:rStyle w:val="Strong"/>
          <w:b w:val="0"/>
          <w:bCs w:val="0"/>
          <w:color w:val="000000"/>
        </w:rPr>
        <w:t>experiment control system</w:t>
      </w:r>
      <w:r>
        <w:rPr>
          <w:rStyle w:val="apple-converted-space"/>
          <w:color w:val="000000"/>
        </w:rPr>
        <w:t> </w:t>
      </w:r>
      <w:r>
        <w:rPr>
          <w:color w:val="000000"/>
        </w:rPr>
        <w:t>builds on well-established frameworks to coordinate all aspects of detector operations.</w:t>
      </w:r>
    </w:p>
    <w:p w14:paraId="002E9DA2" w14:textId="210DEA71" w:rsidR="004858DC" w:rsidRPr="004858DC" w:rsidRDefault="004858DC" w:rsidP="00171CEF">
      <w:pPr>
        <w:pStyle w:val="NormalWeb"/>
        <w:spacing w:line="276" w:lineRule="auto"/>
        <w:jc w:val="both"/>
        <w:rPr>
          <w:color w:val="000000"/>
        </w:rPr>
      </w:pPr>
      <w:r>
        <w:rPr>
          <w:color w:val="000000"/>
        </w:rPr>
        <w:t>The studies of</w:t>
      </w:r>
      <w:r>
        <w:rPr>
          <w:rStyle w:val="apple-converted-space"/>
          <w:color w:val="000000"/>
        </w:rPr>
        <w:t> </w:t>
      </w:r>
      <w:r w:rsidRPr="004858DC">
        <w:rPr>
          <w:rStyle w:val="Strong"/>
          <w:b w:val="0"/>
          <w:bCs w:val="0"/>
          <w:color w:val="000000"/>
        </w:rPr>
        <w:t>calorimeter- and muon-based triggers</w:t>
      </w:r>
      <w:r>
        <w:rPr>
          <w:rStyle w:val="apple-converted-space"/>
          <w:color w:val="000000"/>
        </w:rPr>
        <w:t> </w:t>
      </w:r>
      <w:r>
        <w:rPr>
          <w:color w:val="000000"/>
        </w:rPr>
        <w:t xml:space="preserve">demonstrate that the proposed system can meet the physics objectives of the CEPC programme. The design maintains high efficiency for signal events while reducing background event rates to manageable levels. Sensitivity studies show </w:t>
      </w:r>
      <w:r>
        <w:rPr>
          <w:color w:val="000000"/>
        </w:rPr>
        <w:lastRenderedPageBreak/>
        <w:t>that trigger thresholds can be tuned to control background rates with minimal impact on the efficiency for key physics processes.</w:t>
      </w:r>
    </w:p>
    <w:p w14:paraId="17620654" w14:textId="77777777" w:rsidR="004858DC" w:rsidRPr="004858DC" w:rsidRDefault="004858DC" w:rsidP="004858DC">
      <w:pPr>
        <w:pStyle w:val="Heading3"/>
        <w:rPr>
          <w:b/>
          <w:bCs/>
          <w:color w:val="000000"/>
        </w:rPr>
      </w:pPr>
      <w:r w:rsidRPr="004858DC">
        <w:rPr>
          <w:b/>
          <w:bCs/>
          <w:color w:val="000000"/>
        </w:rPr>
        <w:t>Comments</w:t>
      </w:r>
    </w:p>
    <w:p w14:paraId="68EAC7D2" w14:textId="2ACD9EA6" w:rsidR="004858DC" w:rsidRPr="004858DC" w:rsidRDefault="004858DC" w:rsidP="00B06F69">
      <w:pPr>
        <w:pStyle w:val="NormalWeb"/>
        <w:spacing w:line="276" w:lineRule="auto"/>
        <w:jc w:val="both"/>
        <w:rPr>
          <w:color w:val="000000"/>
        </w:rPr>
      </w:pPr>
      <w:r>
        <w:rPr>
          <w:color w:val="000000"/>
        </w:rPr>
        <w:t>The TDAQ system is at an advanced</w:t>
      </w:r>
      <w:r>
        <w:rPr>
          <w:rStyle w:val="apple-converted-space"/>
          <w:color w:val="000000"/>
        </w:rPr>
        <w:t> </w:t>
      </w:r>
      <w:r w:rsidRPr="004858DC">
        <w:rPr>
          <w:rStyle w:val="Strong"/>
          <w:b w:val="0"/>
          <w:bCs w:val="0"/>
          <w:color w:val="000000"/>
        </w:rPr>
        <w:t>Technological Readiness Level (TRL)</w:t>
      </w:r>
      <w:r w:rsidRPr="004858DC">
        <w:rPr>
          <w:b/>
          <w:bCs/>
          <w:color w:val="000000"/>
        </w:rPr>
        <w:t>.</w:t>
      </w:r>
      <w:r>
        <w:rPr>
          <w:color w:val="000000"/>
        </w:rPr>
        <w:t xml:space="preserve"> The baseline design relies on technologies in which the collaboration has extensive experience—high-speed data links, FPGAs, GPUs, and modern network solutions. The system is highly scalable for future luminosity upgrades, and the accompanying R&amp;D programme is well structured to deliver further improvements for higher-rate operation in future running phases.</w:t>
      </w:r>
    </w:p>
    <w:p w14:paraId="5157A257" w14:textId="31734E25" w:rsidR="00556DE5" w:rsidRPr="00C3496D" w:rsidRDefault="00000000" w:rsidP="00C3496D">
      <w:pPr>
        <w:pStyle w:val="Heading1"/>
      </w:pPr>
      <w:r w:rsidRPr="00C3496D">
        <w:t>Software and Computing</w:t>
      </w:r>
    </w:p>
    <w:p w14:paraId="29FBC709" w14:textId="5F8FB827" w:rsidR="00556DE5" w:rsidRPr="00356E4A" w:rsidRDefault="006128E6" w:rsidP="006128E6">
      <w:pPr>
        <w:spacing w:before="240" w:after="240"/>
        <w:jc w:val="both"/>
        <w:rPr>
          <w:b/>
        </w:rPr>
      </w:pPr>
      <w:r w:rsidRPr="00356E4A">
        <w:rPr>
          <w:b/>
        </w:rPr>
        <w:t>Findings</w:t>
      </w:r>
    </w:p>
    <w:p w14:paraId="31579548" w14:textId="77777777" w:rsidR="006128E6" w:rsidRPr="006128E6" w:rsidRDefault="006128E6" w:rsidP="006128E6">
      <w:pPr>
        <w:pStyle w:val="NormalWeb"/>
        <w:spacing w:line="276" w:lineRule="auto"/>
        <w:jc w:val="both"/>
        <w:rPr>
          <w:color w:val="000000"/>
        </w:rPr>
      </w:pPr>
      <w:r w:rsidRPr="006128E6">
        <w:rPr>
          <w:color w:val="000000"/>
        </w:rPr>
        <w:t>The review committee recognises the</w:t>
      </w:r>
      <w:r w:rsidRPr="006128E6">
        <w:rPr>
          <w:rStyle w:val="apple-converted-space"/>
          <w:color w:val="000000"/>
        </w:rPr>
        <w:t> </w:t>
      </w:r>
      <w:r w:rsidRPr="006128E6">
        <w:rPr>
          <w:rStyle w:val="Strong"/>
          <w:b w:val="0"/>
          <w:bCs w:val="0"/>
          <w:color w:val="000000"/>
        </w:rPr>
        <w:t>substantial progress</w:t>
      </w:r>
      <w:r w:rsidRPr="006128E6">
        <w:rPr>
          <w:rStyle w:val="apple-converted-space"/>
          <w:color w:val="000000"/>
        </w:rPr>
        <w:t> </w:t>
      </w:r>
      <w:r w:rsidRPr="006128E6">
        <w:rPr>
          <w:color w:val="000000"/>
        </w:rPr>
        <w:t>achieved in software and computing since the previous report. Nearly all earlier recommendations have been effectively implemented by the collaboration. The current status and recent developments are comprehensively presented in the Ref-TDR and were discussed in detail during the dedicated session at this review. Overall, the</w:t>
      </w:r>
      <w:r w:rsidRPr="006128E6">
        <w:rPr>
          <w:rStyle w:val="apple-converted-space"/>
          <w:color w:val="000000"/>
        </w:rPr>
        <w:t> </w:t>
      </w:r>
      <w:r w:rsidRPr="006128E6">
        <w:rPr>
          <w:rStyle w:val="Strong"/>
          <w:b w:val="0"/>
          <w:bCs w:val="0"/>
          <w:color w:val="000000"/>
        </w:rPr>
        <w:t>Offline Software and Computing</w:t>
      </w:r>
      <w:r w:rsidRPr="006128E6">
        <w:rPr>
          <w:rStyle w:val="apple-converted-space"/>
          <w:color w:val="000000"/>
        </w:rPr>
        <w:t> </w:t>
      </w:r>
      <w:r w:rsidRPr="006128E6">
        <w:rPr>
          <w:color w:val="000000"/>
        </w:rPr>
        <w:t>activities are on a solid footing, following a feasible and well-coordinated plan, with no major obstacles identified.</w:t>
      </w:r>
    </w:p>
    <w:p w14:paraId="0806A77A" w14:textId="77777777" w:rsidR="006128E6" w:rsidRPr="006128E6" w:rsidRDefault="006128E6" w:rsidP="006128E6">
      <w:pPr>
        <w:pStyle w:val="NormalWeb"/>
        <w:spacing w:line="276" w:lineRule="auto"/>
        <w:jc w:val="both"/>
        <w:rPr>
          <w:color w:val="000000"/>
        </w:rPr>
      </w:pPr>
      <w:r w:rsidRPr="006128E6">
        <w:rPr>
          <w:color w:val="000000"/>
        </w:rPr>
        <w:t>The</w:t>
      </w:r>
      <w:r w:rsidRPr="006128E6">
        <w:rPr>
          <w:rStyle w:val="apple-converted-space"/>
          <w:color w:val="000000"/>
        </w:rPr>
        <w:t> </w:t>
      </w:r>
      <w:r w:rsidRPr="006128E6">
        <w:rPr>
          <w:rStyle w:val="Strong"/>
          <w:b w:val="0"/>
          <w:bCs w:val="0"/>
          <w:color w:val="000000"/>
        </w:rPr>
        <w:t>offline software framework</w:t>
      </w:r>
      <w:r w:rsidRPr="006128E6">
        <w:rPr>
          <w:color w:val="000000"/>
        </w:rPr>
        <w:t>, CEPCSW, is built on the international</w:t>
      </w:r>
      <w:r w:rsidRPr="006128E6">
        <w:rPr>
          <w:rStyle w:val="apple-converted-space"/>
          <w:color w:val="000000"/>
        </w:rPr>
        <w:t> </w:t>
      </w:r>
      <w:r w:rsidRPr="006128E6">
        <w:rPr>
          <w:rStyle w:val="Strong"/>
          <w:b w:val="0"/>
          <w:bCs w:val="0"/>
          <w:color w:val="000000"/>
        </w:rPr>
        <w:t>Key4hep</w:t>
      </w:r>
      <w:r w:rsidRPr="006128E6">
        <w:rPr>
          <w:rStyle w:val="apple-converted-space"/>
          <w:b/>
          <w:bCs/>
          <w:color w:val="000000"/>
        </w:rPr>
        <w:t> </w:t>
      </w:r>
      <w:r w:rsidRPr="006128E6">
        <w:rPr>
          <w:b/>
          <w:bCs/>
          <w:color w:val="000000"/>
        </w:rPr>
        <w:t>p</w:t>
      </w:r>
      <w:r w:rsidRPr="006128E6">
        <w:rPr>
          <w:color w:val="000000"/>
        </w:rPr>
        <w:t>roject, which serves as a common foundation for all future collider experiments. CEPC continues to make meaningful contributions to this global effort. On the</w:t>
      </w:r>
      <w:r w:rsidRPr="006128E6">
        <w:rPr>
          <w:rStyle w:val="apple-converted-space"/>
          <w:color w:val="000000"/>
        </w:rPr>
        <w:t> </w:t>
      </w:r>
      <w:r w:rsidRPr="006128E6">
        <w:rPr>
          <w:rStyle w:val="Strong"/>
          <w:b w:val="0"/>
          <w:bCs w:val="0"/>
          <w:color w:val="000000"/>
        </w:rPr>
        <w:t>computing side</w:t>
      </w:r>
      <w:r w:rsidRPr="006128E6">
        <w:rPr>
          <w:color w:val="000000"/>
        </w:rPr>
        <w:t>, the collaboration employs established tools and methodologies inherited from the LHC. The current computing model follows a traditional Tiered structure for computing resources, complemented by a more modern</w:t>
      </w:r>
      <w:r w:rsidRPr="006128E6">
        <w:rPr>
          <w:rStyle w:val="apple-converted-space"/>
          <w:color w:val="000000"/>
        </w:rPr>
        <w:t> </w:t>
      </w:r>
      <w:r w:rsidRPr="006128E6">
        <w:rPr>
          <w:rStyle w:val="Strong"/>
          <w:b w:val="0"/>
          <w:bCs w:val="0"/>
          <w:color w:val="000000"/>
        </w:rPr>
        <w:t>data-lake architecture</w:t>
      </w:r>
      <w:r w:rsidRPr="006128E6">
        <w:rPr>
          <w:rStyle w:val="apple-converted-space"/>
          <w:color w:val="000000"/>
        </w:rPr>
        <w:t> </w:t>
      </w:r>
      <w:r w:rsidRPr="006128E6">
        <w:rPr>
          <w:color w:val="000000"/>
        </w:rPr>
        <w:t>for distributed data management. A further evolution toward a more flexible and efficient model is foreseen, aligned with community-wide developments.</w:t>
      </w:r>
    </w:p>
    <w:p w14:paraId="0253AF44" w14:textId="77777777" w:rsidR="006128E6" w:rsidRPr="006128E6" w:rsidRDefault="006128E6" w:rsidP="006128E6">
      <w:pPr>
        <w:pStyle w:val="NormalWeb"/>
        <w:spacing w:line="276" w:lineRule="auto"/>
        <w:jc w:val="both"/>
        <w:rPr>
          <w:color w:val="000000"/>
        </w:rPr>
      </w:pPr>
      <w:r w:rsidRPr="006128E6">
        <w:rPr>
          <w:color w:val="000000"/>
        </w:rPr>
        <w:t>A detailed</w:t>
      </w:r>
      <w:r w:rsidRPr="006128E6">
        <w:rPr>
          <w:rStyle w:val="apple-converted-space"/>
          <w:color w:val="000000"/>
        </w:rPr>
        <w:t> </w:t>
      </w:r>
      <w:r w:rsidRPr="006128E6">
        <w:rPr>
          <w:rStyle w:val="Strong"/>
          <w:b w:val="0"/>
          <w:bCs w:val="0"/>
          <w:color w:val="000000"/>
        </w:rPr>
        <w:t>simulation model</w:t>
      </w:r>
      <w:r w:rsidRPr="006128E6">
        <w:rPr>
          <w:rStyle w:val="apple-converted-space"/>
          <w:color w:val="000000"/>
        </w:rPr>
        <w:t> </w:t>
      </w:r>
      <w:r w:rsidRPr="006128E6">
        <w:rPr>
          <w:color w:val="000000"/>
        </w:rPr>
        <w:t>of the reference detector has been developed. For</w:t>
      </w:r>
      <w:r w:rsidRPr="006128E6">
        <w:rPr>
          <w:rStyle w:val="apple-converted-space"/>
          <w:color w:val="000000"/>
        </w:rPr>
        <w:t> </w:t>
      </w:r>
      <w:r w:rsidRPr="006128E6">
        <w:rPr>
          <w:rStyle w:val="Strong"/>
          <w:b w:val="0"/>
          <w:bCs w:val="0"/>
          <w:color w:val="000000"/>
        </w:rPr>
        <w:t>track reconstruction</w:t>
      </w:r>
      <w:r w:rsidRPr="006128E6">
        <w:rPr>
          <w:color w:val="000000"/>
        </w:rPr>
        <w:t>, the collaboration has successfully adapted algorithms from ILD while in parallel pursuing more advanced methods based on</w:t>
      </w:r>
      <w:r w:rsidRPr="006128E6">
        <w:rPr>
          <w:rStyle w:val="apple-converted-space"/>
          <w:color w:val="000000"/>
        </w:rPr>
        <w:t> </w:t>
      </w:r>
      <w:r w:rsidRPr="006128E6">
        <w:rPr>
          <w:rStyle w:val="Strong"/>
          <w:b w:val="0"/>
          <w:bCs w:val="0"/>
          <w:color w:val="000000"/>
        </w:rPr>
        <w:t>ACTS</w:t>
      </w:r>
      <w:r w:rsidRPr="006128E6">
        <w:rPr>
          <w:color w:val="000000"/>
        </w:rPr>
        <w:t>. A new</w:t>
      </w:r>
      <w:r w:rsidRPr="006128E6">
        <w:rPr>
          <w:rStyle w:val="apple-converted-space"/>
          <w:color w:val="000000"/>
        </w:rPr>
        <w:t> </w:t>
      </w:r>
      <w:r w:rsidRPr="006128E6">
        <w:rPr>
          <w:rStyle w:val="Strong"/>
          <w:b w:val="0"/>
          <w:bCs w:val="0"/>
          <w:color w:val="000000"/>
        </w:rPr>
        <w:t>particle flow algorithm</w:t>
      </w:r>
      <w:r w:rsidRPr="006128E6">
        <w:rPr>
          <w:color w:val="000000"/>
        </w:rPr>
        <w:t>,</w:t>
      </w:r>
      <w:r w:rsidRPr="006128E6">
        <w:rPr>
          <w:rStyle w:val="apple-converted-space"/>
          <w:color w:val="000000"/>
        </w:rPr>
        <w:t> </w:t>
      </w:r>
      <w:proofErr w:type="spellStart"/>
      <w:r w:rsidRPr="006128E6">
        <w:rPr>
          <w:rStyle w:val="Emphasis"/>
          <w:color w:val="000000"/>
        </w:rPr>
        <w:t>CyberPFA</w:t>
      </w:r>
      <w:proofErr w:type="spellEnd"/>
      <w:r w:rsidRPr="006128E6">
        <w:rPr>
          <w:color w:val="000000"/>
        </w:rPr>
        <w:t xml:space="preserve">, has been implemented to address the specific challenges arising from the elongated crystal bars in the novel BGO-crystal ECAL. The earlier work on HCAL clustering has been successfully integrated into </w:t>
      </w:r>
      <w:proofErr w:type="spellStart"/>
      <w:r w:rsidRPr="006128E6">
        <w:rPr>
          <w:color w:val="000000"/>
        </w:rPr>
        <w:t>CyberPFA</w:t>
      </w:r>
      <w:proofErr w:type="spellEnd"/>
      <w:r w:rsidRPr="006128E6">
        <w:rPr>
          <w:color w:val="000000"/>
        </w:rPr>
        <w:t>. The complete simulation and reconstruction framework has been used to produce a wide range of technical performance results, demonstrating that the detector concept, coupled with sophisticated reconstruction algorithms, can meet the required physics performance targets.</w:t>
      </w:r>
    </w:p>
    <w:p w14:paraId="5F77832A" w14:textId="77777777" w:rsidR="006128E6" w:rsidRPr="006128E6" w:rsidRDefault="006128E6" w:rsidP="006128E6">
      <w:pPr>
        <w:pStyle w:val="NormalWeb"/>
        <w:spacing w:line="276" w:lineRule="auto"/>
        <w:jc w:val="both"/>
        <w:rPr>
          <w:color w:val="000000"/>
        </w:rPr>
      </w:pPr>
      <w:r w:rsidRPr="006128E6">
        <w:rPr>
          <w:color w:val="000000"/>
        </w:rPr>
        <w:lastRenderedPageBreak/>
        <w:t>The</w:t>
      </w:r>
      <w:r w:rsidRPr="006128E6">
        <w:rPr>
          <w:rStyle w:val="apple-converted-space"/>
          <w:color w:val="000000"/>
        </w:rPr>
        <w:t> </w:t>
      </w:r>
      <w:r w:rsidRPr="006128E6">
        <w:rPr>
          <w:rStyle w:val="Strong"/>
          <w:b w:val="0"/>
          <w:bCs w:val="0"/>
          <w:color w:val="000000"/>
        </w:rPr>
        <w:t>offline software</w:t>
      </w:r>
      <w:r w:rsidRPr="006128E6">
        <w:rPr>
          <w:rStyle w:val="apple-converted-space"/>
          <w:color w:val="000000"/>
        </w:rPr>
        <w:t> </w:t>
      </w:r>
      <w:r w:rsidRPr="006128E6">
        <w:rPr>
          <w:color w:val="000000"/>
        </w:rPr>
        <w:t>has also been used to estimate computing needs, based on reasonable assumptions for data rates, event volumes, and processing schedules. However, these estimates could be strengthened by explicitly documenting the underlying assumptions—for example, the ratio of Monte Carlo to raw data events used in the resource projections.</w:t>
      </w:r>
    </w:p>
    <w:p w14:paraId="032783A6" w14:textId="58E91090" w:rsidR="00556DE5" w:rsidRPr="006128E6" w:rsidRDefault="006128E6" w:rsidP="006128E6">
      <w:pPr>
        <w:pStyle w:val="NormalWeb"/>
        <w:spacing w:line="276" w:lineRule="auto"/>
        <w:jc w:val="both"/>
        <w:rPr>
          <w:color w:val="000000"/>
        </w:rPr>
      </w:pPr>
      <w:r w:rsidRPr="006128E6">
        <w:rPr>
          <w:color w:val="000000"/>
        </w:rPr>
        <w:t>The CEPC Software Working Group has also launched several forward-looking</w:t>
      </w:r>
      <w:r w:rsidRPr="006128E6">
        <w:rPr>
          <w:rStyle w:val="apple-converted-space"/>
          <w:color w:val="000000"/>
        </w:rPr>
        <w:t> </w:t>
      </w:r>
      <w:r w:rsidRPr="006128E6">
        <w:rPr>
          <w:rStyle w:val="Strong"/>
          <w:b w:val="0"/>
          <w:bCs w:val="0"/>
          <w:color w:val="000000"/>
        </w:rPr>
        <w:t>R&amp;D activities</w:t>
      </w:r>
      <w:r w:rsidRPr="006128E6">
        <w:rPr>
          <w:color w:val="000000"/>
        </w:rPr>
        <w:t>, exploring concurrent computing on heterogeneous hardware, machine-learning-based fast simulation, and potential applications of quantum computing</w:t>
      </w:r>
      <w:r>
        <w:rPr>
          <w:color w:val="000000"/>
        </w:rPr>
        <w:t>.</w:t>
      </w:r>
    </w:p>
    <w:p w14:paraId="7218BE38" w14:textId="002D47D2" w:rsidR="00556DE5" w:rsidRPr="00356E4A" w:rsidRDefault="00000000">
      <w:pPr>
        <w:jc w:val="both"/>
        <w:rPr>
          <w:b/>
          <w:sz w:val="28"/>
          <w:szCs w:val="28"/>
        </w:rPr>
      </w:pPr>
      <w:r w:rsidRPr="00356E4A">
        <w:rPr>
          <w:b/>
          <w:sz w:val="28"/>
          <w:szCs w:val="28"/>
        </w:rPr>
        <w:t>Comments</w:t>
      </w:r>
    </w:p>
    <w:p w14:paraId="76646A85" w14:textId="77777777" w:rsidR="006128E6" w:rsidRDefault="006128E6" w:rsidP="006128E6">
      <w:pPr>
        <w:pStyle w:val="NormalWeb"/>
        <w:spacing w:line="276" w:lineRule="auto"/>
        <w:jc w:val="both"/>
        <w:rPr>
          <w:color w:val="000000"/>
        </w:rPr>
      </w:pPr>
      <w:r>
        <w:rPr>
          <w:color w:val="000000"/>
        </w:rPr>
        <w:t>The committee commends the collaboration for addressing nearly all previous recommendations. In particular:</w:t>
      </w:r>
    </w:p>
    <w:p w14:paraId="055779E3" w14:textId="794BC662" w:rsidR="006128E6" w:rsidRDefault="006128E6" w:rsidP="006128E6">
      <w:pPr>
        <w:pStyle w:val="NormalWeb"/>
        <w:numPr>
          <w:ilvl w:val="0"/>
          <w:numId w:val="42"/>
        </w:numPr>
        <w:spacing w:line="276" w:lineRule="auto"/>
        <w:jc w:val="both"/>
        <w:rPr>
          <w:color w:val="000000"/>
        </w:rPr>
      </w:pPr>
      <w:r>
        <w:rPr>
          <w:color w:val="000000"/>
        </w:rPr>
        <w:t>The detailed</w:t>
      </w:r>
      <w:r>
        <w:rPr>
          <w:rStyle w:val="apple-converted-space"/>
          <w:color w:val="000000"/>
        </w:rPr>
        <w:t> </w:t>
      </w:r>
      <w:r w:rsidRPr="006128E6">
        <w:rPr>
          <w:rStyle w:val="Strong"/>
          <w:b w:val="0"/>
          <w:bCs w:val="0"/>
          <w:color w:val="000000"/>
        </w:rPr>
        <w:t>simulation and reconstruction framework</w:t>
      </w:r>
      <w:r>
        <w:rPr>
          <w:rStyle w:val="apple-converted-space"/>
          <w:color w:val="000000"/>
        </w:rPr>
        <w:t> </w:t>
      </w:r>
      <w:r>
        <w:rPr>
          <w:color w:val="000000"/>
        </w:rPr>
        <w:t>ha</w:t>
      </w:r>
      <w:r w:rsidR="005A2EEC">
        <w:rPr>
          <w:color w:val="000000"/>
        </w:rPr>
        <w:t>ve</w:t>
      </w:r>
      <w:r>
        <w:rPr>
          <w:color w:val="000000"/>
        </w:rPr>
        <w:t xml:space="preserve"> been consolidated and further refined.</w:t>
      </w:r>
    </w:p>
    <w:p w14:paraId="07EBBFD4" w14:textId="77777777" w:rsidR="006128E6" w:rsidRDefault="006128E6" w:rsidP="006128E6">
      <w:pPr>
        <w:pStyle w:val="NormalWeb"/>
        <w:numPr>
          <w:ilvl w:val="0"/>
          <w:numId w:val="42"/>
        </w:numPr>
        <w:spacing w:line="276" w:lineRule="auto"/>
        <w:jc w:val="both"/>
        <w:rPr>
          <w:color w:val="000000"/>
        </w:rPr>
      </w:pPr>
      <w:r w:rsidRPr="006128E6">
        <w:rPr>
          <w:rStyle w:val="Strong"/>
          <w:b w:val="0"/>
          <w:bCs w:val="0"/>
          <w:color w:val="000000"/>
        </w:rPr>
        <w:t>Detector imperfections</w:t>
      </w:r>
      <w:r>
        <w:rPr>
          <w:rStyle w:val="apple-converted-space"/>
          <w:color w:val="000000"/>
        </w:rPr>
        <w:t> </w:t>
      </w:r>
      <w:r>
        <w:rPr>
          <w:color w:val="000000"/>
        </w:rPr>
        <w:t>such as gaps and inactive material from cables and services have been incorporated into the simulation.</w:t>
      </w:r>
    </w:p>
    <w:p w14:paraId="7A2ACAA1" w14:textId="77777777" w:rsidR="006128E6" w:rsidRDefault="006128E6" w:rsidP="006128E6">
      <w:pPr>
        <w:pStyle w:val="NormalWeb"/>
        <w:numPr>
          <w:ilvl w:val="0"/>
          <w:numId w:val="42"/>
        </w:numPr>
        <w:spacing w:line="276" w:lineRule="auto"/>
        <w:jc w:val="both"/>
        <w:rPr>
          <w:color w:val="000000"/>
        </w:rPr>
      </w:pPr>
      <w:r w:rsidRPr="006128E6">
        <w:rPr>
          <w:rStyle w:val="Strong"/>
          <w:b w:val="0"/>
          <w:bCs w:val="0"/>
          <w:color w:val="000000"/>
        </w:rPr>
        <w:t>Comprehensive studies</w:t>
      </w:r>
      <w:r>
        <w:rPr>
          <w:rStyle w:val="apple-converted-space"/>
          <w:color w:val="000000"/>
        </w:rPr>
        <w:t> </w:t>
      </w:r>
      <w:r>
        <w:rPr>
          <w:color w:val="000000"/>
        </w:rPr>
        <w:t xml:space="preserve">of </w:t>
      </w:r>
      <w:proofErr w:type="spellStart"/>
      <w:r>
        <w:rPr>
          <w:color w:val="000000"/>
        </w:rPr>
        <w:t>CyberPFA</w:t>
      </w:r>
      <w:proofErr w:type="spellEnd"/>
      <w:r>
        <w:rPr>
          <w:color w:val="000000"/>
        </w:rPr>
        <w:t xml:space="preserve"> performance—including jet energy resolution for light-quark events and single-particle response—have been completed.</w:t>
      </w:r>
    </w:p>
    <w:p w14:paraId="56AC7F8B" w14:textId="77777777" w:rsidR="006128E6" w:rsidRDefault="006128E6" w:rsidP="006128E6">
      <w:pPr>
        <w:pStyle w:val="NormalWeb"/>
        <w:numPr>
          <w:ilvl w:val="0"/>
          <w:numId w:val="42"/>
        </w:numPr>
        <w:spacing w:line="276" w:lineRule="auto"/>
        <w:jc w:val="both"/>
        <w:rPr>
          <w:color w:val="000000"/>
        </w:rPr>
      </w:pPr>
      <w:r>
        <w:rPr>
          <w:color w:val="000000"/>
        </w:rPr>
        <w:t>The</w:t>
      </w:r>
      <w:r>
        <w:rPr>
          <w:rStyle w:val="apple-converted-space"/>
          <w:color w:val="000000"/>
        </w:rPr>
        <w:t> </w:t>
      </w:r>
      <w:r w:rsidRPr="006128E6">
        <w:rPr>
          <w:rStyle w:val="Strong"/>
          <w:b w:val="0"/>
          <w:bCs w:val="0"/>
          <w:color w:val="000000"/>
        </w:rPr>
        <w:t>background mixing functionality</w:t>
      </w:r>
      <w:r>
        <w:rPr>
          <w:rStyle w:val="apple-converted-space"/>
          <w:color w:val="000000"/>
        </w:rPr>
        <w:t> </w:t>
      </w:r>
      <w:r>
        <w:rPr>
          <w:color w:val="000000"/>
        </w:rPr>
        <w:t>has been implemented and applied in physics benchmark analyses.</w:t>
      </w:r>
    </w:p>
    <w:p w14:paraId="32A5D77B" w14:textId="77777777" w:rsidR="006128E6" w:rsidRDefault="006128E6" w:rsidP="006128E6">
      <w:pPr>
        <w:pStyle w:val="NormalWeb"/>
        <w:numPr>
          <w:ilvl w:val="0"/>
          <w:numId w:val="42"/>
        </w:numPr>
        <w:spacing w:line="276" w:lineRule="auto"/>
        <w:jc w:val="both"/>
        <w:rPr>
          <w:color w:val="000000"/>
        </w:rPr>
      </w:pPr>
      <w:r>
        <w:rPr>
          <w:color w:val="000000"/>
        </w:rPr>
        <w:t>Tools to</w:t>
      </w:r>
      <w:r>
        <w:rPr>
          <w:rStyle w:val="apple-converted-space"/>
          <w:color w:val="000000"/>
        </w:rPr>
        <w:t> </w:t>
      </w:r>
      <w:r w:rsidRPr="006128E6">
        <w:rPr>
          <w:rStyle w:val="Strong"/>
          <w:b w:val="0"/>
          <w:bCs w:val="0"/>
          <w:color w:val="000000"/>
        </w:rPr>
        <w:t>study the impact of misalignments</w:t>
      </w:r>
      <w:r>
        <w:rPr>
          <w:rStyle w:val="apple-converted-space"/>
          <w:color w:val="000000"/>
        </w:rPr>
        <w:t> </w:t>
      </w:r>
      <w:r>
        <w:rPr>
          <w:color w:val="000000"/>
        </w:rPr>
        <w:t>on tracking performance have been developed.</w:t>
      </w:r>
    </w:p>
    <w:p w14:paraId="1F485750" w14:textId="77777777" w:rsidR="006128E6" w:rsidRDefault="006128E6" w:rsidP="006128E6">
      <w:pPr>
        <w:pStyle w:val="NormalWeb"/>
        <w:numPr>
          <w:ilvl w:val="0"/>
          <w:numId w:val="42"/>
        </w:numPr>
        <w:spacing w:line="276" w:lineRule="auto"/>
        <w:jc w:val="both"/>
        <w:rPr>
          <w:color w:val="000000"/>
        </w:rPr>
      </w:pPr>
      <w:r>
        <w:rPr>
          <w:color w:val="000000"/>
        </w:rPr>
        <w:t>A</w:t>
      </w:r>
      <w:r>
        <w:rPr>
          <w:rStyle w:val="apple-converted-space"/>
          <w:color w:val="000000"/>
        </w:rPr>
        <w:t> </w:t>
      </w:r>
      <w:r w:rsidRPr="006128E6">
        <w:rPr>
          <w:rStyle w:val="Strong"/>
          <w:b w:val="0"/>
          <w:bCs w:val="0"/>
          <w:color w:val="000000"/>
        </w:rPr>
        <w:t>dedicated performance monitoring framework</w:t>
      </w:r>
      <w:r>
        <w:rPr>
          <w:rStyle w:val="apple-converted-space"/>
          <w:color w:val="000000"/>
        </w:rPr>
        <w:t> </w:t>
      </w:r>
      <w:r>
        <w:rPr>
          <w:color w:val="000000"/>
        </w:rPr>
        <w:t>now allows automatic execution of unit tests and system validation plots.</w:t>
      </w:r>
    </w:p>
    <w:p w14:paraId="354A526F" w14:textId="77777777" w:rsidR="006128E6" w:rsidRDefault="006128E6" w:rsidP="006128E6">
      <w:pPr>
        <w:pStyle w:val="NormalWeb"/>
        <w:numPr>
          <w:ilvl w:val="0"/>
          <w:numId w:val="42"/>
        </w:numPr>
        <w:spacing w:line="276" w:lineRule="auto"/>
        <w:jc w:val="both"/>
        <w:rPr>
          <w:color w:val="000000"/>
        </w:rPr>
      </w:pPr>
      <w:r>
        <w:rPr>
          <w:color w:val="000000"/>
        </w:rPr>
        <w:t>The</w:t>
      </w:r>
      <w:r>
        <w:rPr>
          <w:rStyle w:val="apple-converted-space"/>
          <w:color w:val="000000"/>
        </w:rPr>
        <w:t> </w:t>
      </w:r>
      <w:r w:rsidRPr="006128E6">
        <w:rPr>
          <w:rStyle w:val="Strong"/>
          <w:b w:val="0"/>
          <w:bCs w:val="0"/>
          <w:color w:val="000000"/>
        </w:rPr>
        <w:t>resource estimation</w:t>
      </w:r>
      <w:r>
        <w:rPr>
          <w:rStyle w:val="apple-converted-space"/>
          <w:color w:val="000000"/>
        </w:rPr>
        <w:t> </w:t>
      </w:r>
      <w:r>
        <w:rPr>
          <w:color w:val="000000"/>
        </w:rPr>
        <w:t>for the R&amp;D and preparation phases has been expanded, with a staged plan for a sequence of “data challenges” to benchmark the maturity of the software and computing infrastructure.</w:t>
      </w:r>
    </w:p>
    <w:p w14:paraId="3A467184" w14:textId="74766202" w:rsidR="00556DE5" w:rsidRPr="005C5AF9" w:rsidRDefault="006128E6" w:rsidP="005C5AF9">
      <w:pPr>
        <w:pStyle w:val="NormalWeb"/>
        <w:spacing w:line="276" w:lineRule="auto"/>
        <w:jc w:val="both"/>
        <w:rPr>
          <w:color w:val="000000"/>
        </w:rPr>
      </w:pPr>
      <w:r>
        <w:rPr>
          <w:color w:val="000000"/>
        </w:rPr>
        <w:t>These developments reflect a well-organised and forward-looking approach. The CEPC computing model builds on proven LHC experience while remaining adaptable to evolving technologies and community standards.</w:t>
      </w:r>
    </w:p>
    <w:p w14:paraId="3B7DA281" w14:textId="77777777" w:rsidR="00556DE5" w:rsidRPr="00356E4A" w:rsidRDefault="00000000">
      <w:pPr>
        <w:jc w:val="both"/>
        <w:rPr>
          <w:b/>
          <w:sz w:val="28"/>
          <w:szCs w:val="28"/>
        </w:rPr>
      </w:pPr>
      <w:r w:rsidRPr="00356E4A">
        <w:rPr>
          <w:b/>
          <w:sz w:val="28"/>
          <w:szCs w:val="28"/>
        </w:rPr>
        <w:t>Recommendations</w:t>
      </w:r>
    </w:p>
    <w:p w14:paraId="1D9DC1CF" w14:textId="2C23CE6B" w:rsidR="009657E5" w:rsidRDefault="009657E5" w:rsidP="005A2EEC">
      <w:pPr>
        <w:pStyle w:val="NormalWeb"/>
        <w:numPr>
          <w:ilvl w:val="0"/>
          <w:numId w:val="43"/>
        </w:numPr>
        <w:spacing w:line="276" w:lineRule="auto"/>
        <w:jc w:val="both"/>
      </w:pPr>
      <w:bookmarkStart w:id="16" w:name="_wql3kcv1c41p" w:colFirst="0" w:colLast="0"/>
      <w:bookmarkEnd w:id="16"/>
      <w:r w:rsidRPr="009657E5">
        <w:rPr>
          <w:rStyle w:val="Strong"/>
          <w:b w:val="0"/>
          <w:bCs w:val="0"/>
        </w:rPr>
        <w:t>Establish well-defined reference performance</w:t>
      </w:r>
      <w:r>
        <w:rPr>
          <w:rStyle w:val="Strong"/>
        </w:rPr>
        <w:t xml:space="preserve"> </w:t>
      </w:r>
      <w:r w:rsidRPr="009657E5">
        <w:rPr>
          <w:rStyle w:val="Strong"/>
          <w:b w:val="0"/>
          <w:bCs w:val="0"/>
        </w:rPr>
        <w:t>benchmarks</w:t>
      </w:r>
      <w:r>
        <w:rPr>
          <w:rStyle w:val="apple-converted-space"/>
        </w:rPr>
        <w:t> </w:t>
      </w:r>
      <w:r>
        <w:t>and corresponding validation plots to qualify simulation and reconstruction quality, as well as detector performance. Integrate these benchmarks into the new monitoring system.</w:t>
      </w:r>
    </w:p>
    <w:p w14:paraId="4820D8F9" w14:textId="2ED8F18A" w:rsidR="009657E5" w:rsidRDefault="009657E5" w:rsidP="005A2EEC">
      <w:pPr>
        <w:pStyle w:val="NormalWeb"/>
        <w:numPr>
          <w:ilvl w:val="0"/>
          <w:numId w:val="43"/>
        </w:numPr>
        <w:spacing w:line="276" w:lineRule="auto"/>
        <w:jc w:val="both"/>
      </w:pPr>
      <w:r w:rsidRPr="009657E5">
        <w:rPr>
          <w:rStyle w:val="Strong"/>
          <w:b w:val="0"/>
          <w:bCs w:val="0"/>
        </w:rPr>
        <w:t>Define sub-detector–specific performance plots</w:t>
      </w:r>
      <w:r>
        <w:rPr>
          <w:rStyle w:val="apple-converted-space"/>
        </w:rPr>
        <w:t> </w:t>
      </w:r>
      <w:r>
        <w:t>while maintaining a common set of</w:t>
      </w:r>
      <w:r>
        <w:rPr>
          <w:rStyle w:val="apple-converted-space"/>
        </w:rPr>
        <w:t> </w:t>
      </w:r>
      <w:r w:rsidRPr="009657E5">
        <w:rPr>
          <w:rStyle w:val="Strong"/>
          <w:b w:val="0"/>
          <w:bCs w:val="0"/>
        </w:rPr>
        <w:t>global physics performance benchmarks</w:t>
      </w:r>
      <w:r>
        <w:rPr>
          <w:rStyle w:val="apple-converted-space"/>
        </w:rPr>
        <w:t> </w:t>
      </w:r>
      <w:r>
        <w:t>to ensure consistent validation of software improvements.</w:t>
      </w:r>
    </w:p>
    <w:p w14:paraId="2F3099D5" w14:textId="71A2D853" w:rsidR="009657E5" w:rsidRDefault="009657E5" w:rsidP="005A2EEC">
      <w:pPr>
        <w:pStyle w:val="NormalWeb"/>
        <w:numPr>
          <w:ilvl w:val="0"/>
          <w:numId w:val="43"/>
        </w:numPr>
        <w:spacing w:line="276" w:lineRule="auto"/>
        <w:jc w:val="both"/>
      </w:pPr>
      <w:r>
        <w:rPr>
          <w:rFonts w:hAnsi="Symbol"/>
        </w:rPr>
        <w:lastRenderedPageBreak/>
        <w:t>O</w:t>
      </w:r>
      <w:r>
        <w:t>nce consolidated,</w:t>
      </w:r>
      <w:r>
        <w:rPr>
          <w:rStyle w:val="apple-converted-space"/>
        </w:rPr>
        <w:t> </w:t>
      </w:r>
      <w:r w:rsidRPr="009657E5">
        <w:rPr>
          <w:rStyle w:val="Strong"/>
          <w:b w:val="0"/>
          <w:bCs w:val="0"/>
        </w:rPr>
        <w:t>establish clear reference detector performance baselines</w:t>
      </w:r>
      <w:r>
        <w:rPr>
          <w:rStyle w:val="apple-converted-space"/>
        </w:rPr>
        <w:t> </w:t>
      </w:r>
      <w:r>
        <w:t>within the Ref-TDR so that future detector and physics studies use consistent software versions, calibration constants, and conditions (e.g., ensuring that jet resolution and b-tagging results are derived under identical configurations).</w:t>
      </w:r>
    </w:p>
    <w:p w14:paraId="32D2EC42" w14:textId="384C5C7C" w:rsidR="00556DE5" w:rsidRPr="009657E5" w:rsidRDefault="009657E5" w:rsidP="005A2EEC">
      <w:pPr>
        <w:pStyle w:val="NormalWeb"/>
        <w:numPr>
          <w:ilvl w:val="0"/>
          <w:numId w:val="43"/>
        </w:numPr>
        <w:spacing w:line="276" w:lineRule="auto"/>
        <w:jc w:val="both"/>
      </w:pPr>
      <w:r w:rsidRPr="009657E5">
        <w:rPr>
          <w:rStyle w:val="Strong"/>
          <w:b w:val="0"/>
          <w:bCs w:val="0"/>
        </w:rPr>
        <w:t>Provide more quantitative details</w:t>
      </w:r>
      <w:r>
        <w:rPr>
          <w:rStyle w:val="apple-converted-space"/>
        </w:rPr>
        <w:t> </w:t>
      </w:r>
      <w:r>
        <w:t>in the resource estimate, including the ratio of Monte Carlo to data events used, expected number of events, and average file sizes per event.</w:t>
      </w:r>
    </w:p>
    <w:p w14:paraId="60BE7000" w14:textId="77777777" w:rsidR="00556DE5" w:rsidRPr="00C3496D" w:rsidRDefault="00000000" w:rsidP="00C3496D">
      <w:pPr>
        <w:pStyle w:val="Heading1"/>
      </w:pPr>
      <w:bookmarkStart w:id="17" w:name="_wk4y3ycj6ymh" w:colFirst="0" w:colLast="0"/>
      <w:bookmarkEnd w:id="17"/>
      <w:r w:rsidRPr="00C3496D">
        <w:t>Detector Performance</w:t>
      </w:r>
    </w:p>
    <w:p w14:paraId="25B27C7F" w14:textId="77777777" w:rsidR="009D6F51" w:rsidRPr="009D6F51" w:rsidRDefault="009D6F51" w:rsidP="009657E5">
      <w:pPr>
        <w:pStyle w:val="NormalWeb"/>
        <w:spacing w:line="276" w:lineRule="auto"/>
        <w:jc w:val="both"/>
        <w:rPr>
          <w:rFonts w:ascii="Arial" w:hAnsi="Arial" w:cs="Arial"/>
          <w:b/>
          <w:bCs/>
          <w:color w:val="000000"/>
          <w:sz w:val="28"/>
          <w:szCs w:val="28"/>
        </w:rPr>
      </w:pPr>
      <w:r w:rsidRPr="009D6F51">
        <w:rPr>
          <w:rFonts w:ascii="Arial" w:hAnsi="Arial" w:cs="Arial"/>
          <w:b/>
          <w:bCs/>
          <w:color w:val="000000"/>
          <w:sz w:val="28"/>
          <w:szCs w:val="28"/>
        </w:rPr>
        <w:t>Assessment</w:t>
      </w:r>
    </w:p>
    <w:p w14:paraId="272EFD4F" w14:textId="5F644B88" w:rsidR="009657E5" w:rsidRDefault="009657E5" w:rsidP="009657E5">
      <w:pPr>
        <w:pStyle w:val="NormalWeb"/>
        <w:spacing w:line="276" w:lineRule="auto"/>
        <w:jc w:val="both"/>
        <w:rPr>
          <w:color w:val="000000"/>
        </w:rPr>
      </w:pPr>
      <w:r>
        <w:rPr>
          <w:color w:val="000000"/>
        </w:rPr>
        <w:t>The chapter presents a broad and coherent analysis across multiple physics channels. While the integration of detector optimization and physics performance through iterative feedback loops remains conceptually challenging, the current studies offer a robust benchmark evaluation of a well-defined detector configuration.</w:t>
      </w:r>
    </w:p>
    <w:p w14:paraId="50B89797" w14:textId="77777777" w:rsidR="009657E5" w:rsidRDefault="009657E5" w:rsidP="009657E5">
      <w:pPr>
        <w:pStyle w:val="NormalWeb"/>
        <w:spacing w:line="276" w:lineRule="auto"/>
        <w:jc w:val="both"/>
        <w:rPr>
          <w:color w:val="000000"/>
        </w:rPr>
      </w:pPr>
      <w:r>
        <w:rPr>
          <w:color w:val="000000"/>
        </w:rPr>
        <w:t>A key question, however, concerns the degree to which these physics results directly inform or justify the underlying</w:t>
      </w:r>
      <w:r>
        <w:rPr>
          <w:rStyle w:val="apple-converted-space"/>
          <w:color w:val="000000"/>
        </w:rPr>
        <w:t> </w:t>
      </w:r>
      <w:r w:rsidRPr="009657E5">
        <w:rPr>
          <w:rStyle w:val="Strong"/>
          <w:b w:val="0"/>
          <w:bCs w:val="0"/>
          <w:color w:val="000000"/>
        </w:rPr>
        <w:t>technological choices</w:t>
      </w:r>
      <w:r>
        <w:rPr>
          <w:color w:val="000000"/>
        </w:rPr>
        <w:t>. Clarifying these causal links would strengthen the methodological transparency of the optimization process and better illustrate the connection between physics performance and design decisions.</w:t>
      </w:r>
    </w:p>
    <w:p w14:paraId="549C582B" w14:textId="77777777" w:rsidR="009657E5" w:rsidRDefault="009657E5" w:rsidP="009657E5">
      <w:pPr>
        <w:pStyle w:val="NormalWeb"/>
        <w:spacing w:line="276" w:lineRule="auto"/>
        <w:jc w:val="both"/>
        <w:rPr>
          <w:color w:val="000000"/>
        </w:rPr>
      </w:pPr>
      <w:r>
        <w:rPr>
          <w:color w:val="000000"/>
        </w:rPr>
        <w:t>Despite this observation, the chapter demonstrates a high level of maturity. It systematically addresses an extensive set of physics processes and successfully achieves its primary objective: demonstrating that the proposed detector concept provides a solid foundation for a compelling and feasible physics programme. The analyses confirm both the</w:t>
      </w:r>
      <w:r>
        <w:rPr>
          <w:rStyle w:val="apple-converted-space"/>
          <w:color w:val="000000"/>
        </w:rPr>
        <w:t> </w:t>
      </w:r>
      <w:r w:rsidRPr="009657E5">
        <w:rPr>
          <w:rStyle w:val="Strong"/>
          <w:b w:val="0"/>
          <w:bCs w:val="0"/>
          <w:color w:val="000000"/>
        </w:rPr>
        <w:t>scientific merit</w:t>
      </w:r>
      <w:r>
        <w:rPr>
          <w:rStyle w:val="apple-converted-space"/>
          <w:color w:val="000000"/>
        </w:rPr>
        <w:t> </w:t>
      </w:r>
      <w:r>
        <w:rPr>
          <w:color w:val="000000"/>
        </w:rPr>
        <w:t>and the</w:t>
      </w:r>
      <w:r>
        <w:rPr>
          <w:rStyle w:val="apple-converted-space"/>
          <w:color w:val="000000"/>
        </w:rPr>
        <w:t> </w:t>
      </w:r>
      <w:r w:rsidRPr="009657E5">
        <w:rPr>
          <w:rStyle w:val="Strong"/>
          <w:b w:val="0"/>
          <w:bCs w:val="0"/>
          <w:color w:val="000000"/>
        </w:rPr>
        <w:t>technical feasibility</w:t>
      </w:r>
      <w:r w:rsidRPr="009657E5">
        <w:rPr>
          <w:rStyle w:val="apple-converted-space"/>
          <w:b/>
          <w:bCs/>
          <w:color w:val="000000"/>
        </w:rPr>
        <w:t> </w:t>
      </w:r>
      <w:r>
        <w:rPr>
          <w:color w:val="000000"/>
        </w:rPr>
        <w:t>of the CEPC physics goals, supported by detailed simulations and advanced reconstruction tools.</w:t>
      </w:r>
    </w:p>
    <w:p w14:paraId="0CEF3B12" w14:textId="77777777" w:rsidR="009657E5" w:rsidRDefault="009657E5" w:rsidP="009657E5">
      <w:pPr>
        <w:pStyle w:val="NormalWeb"/>
        <w:spacing w:line="276" w:lineRule="auto"/>
        <w:jc w:val="both"/>
        <w:rPr>
          <w:color w:val="000000"/>
        </w:rPr>
      </w:pPr>
      <w:r>
        <w:rPr>
          <w:color w:val="000000"/>
        </w:rPr>
        <w:t>The studies also place the CEPC’s expected performance in a meaningful context, providing an informative comparison with state-of-the-art results anticipated at the end of the current LHC programme. The summary tables of reconstructed object performance and achieved physics targets are comprehensive and well supported. Overall, the presented results mark a significant step forward relative to existing measurements, reinforcing the validity of the chosen technological options.</w:t>
      </w:r>
    </w:p>
    <w:p w14:paraId="50B9E606" w14:textId="77777777" w:rsidR="009657E5" w:rsidRDefault="009657E5" w:rsidP="009657E5">
      <w:pPr>
        <w:pStyle w:val="NormalWeb"/>
        <w:spacing w:line="276" w:lineRule="auto"/>
        <w:jc w:val="both"/>
        <w:rPr>
          <w:color w:val="000000"/>
        </w:rPr>
      </w:pPr>
      <w:r>
        <w:rPr>
          <w:color w:val="000000"/>
        </w:rPr>
        <w:t>Several open issues remain and should be addressed before final technical decisions are made. In this regard, continued</w:t>
      </w:r>
      <w:r>
        <w:rPr>
          <w:rStyle w:val="apple-converted-space"/>
          <w:color w:val="000000"/>
        </w:rPr>
        <w:t> </w:t>
      </w:r>
      <w:r w:rsidRPr="00753A62">
        <w:rPr>
          <w:rStyle w:val="Strong"/>
          <w:b w:val="0"/>
          <w:bCs w:val="0"/>
          <w:color w:val="000000"/>
        </w:rPr>
        <w:t>international collaborati</w:t>
      </w:r>
      <w:r w:rsidRPr="00657755">
        <w:rPr>
          <w:rStyle w:val="Strong"/>
          <w:b w:val="0"/>
          <w:bCs w:val="0"/>
          <w:color w:val="000000"/>
        </w:rPr>
        <w:t>on</w:t>
      </w:r>
      <w:r w:rsidRPr="00657755">
        <w:rPr>
          <w:rStyle w:val="apple-converted-space"/>
          <w:b/>
          <w:bCs/>
          <w:color w:val="000000"/>
        </w:rPr>
        <w:t> </w:t>
      </w:r>
      <w:r>
        <w:rPr>
          <w:color w:val="000000"/>
        </w:rPr>
        <w:t>will be essential to maximise both physics performance and operational efficiency.</w:t>
      </w:r>
    </w:p>
    <w:p w14:paraId="06BA4EC6" w14:textId="77777777" w:rsidR="009657E5" w:rsidRDefault="009657E5" w:rsidP="009657E5">
      <w:pPr>
        <w:pStyle w:val="NormalWeb"/>
        <w:spacing w:line="276" w:lineRule="auto"/>
        <w:jc w:val="both"/>
        <w:rPr>
          <w:color w:val="000000"/>
        </w:rPr>
      </w:pPr>
      <w:r>
        <w:rPr>
          <w:color w:val="000000"/>
        </w:rPr>
        <w:lastRenderedPageBreak/>
        <w:t>In summary, the technical choices underpinning the reference detector are convincingly supported by an appropriately selected set of physics benchmarks, collectively demonstrating:</w:t>
      </w:r>
    </w:p>
    <w:p w14:paraId="346CA632" w14:textId="77777777" w:rsidR="009657E5" w:rsidRDefault="009657E5" w:rsidP="009657E5">
      <w:pPr>
        <w:pStyle w:val="NormalWeb"/>
        <w:numPr>
          <w:ilvl w:val="0"/>
          <w:numId w:val="44"/>
        </w:numPr>
        <w:spacing w:line="276" w:lineRule="auto"/>
        <w:jc w:val="both"/>
        <w:rPr>
          <w:color w:val="000000"/>
        </w:rPr>
      </w:pPr>
      <w:r>
        <w:rPr>
          <w:color w:val="000000"/>
        </w:rPr>
        <w:t>the operational readiness of the reconstruction and analysis software;</w:t>
      </w:r>
    </w:p>
    <w:p w14:paraId="4730A2B5" w14:textId="77777777" w:rsidR="009657E5" w:rsidRDefault="009657E5" w:rsidP="009657E5">
      <w:pPr>
        <w:pStyle w:val="NormalWeb"/>
        <w:numPr>
          <w:ilvl w:val="0"/>
          <w:numId w:val="44"/>
        </w:numPr>
        <w:spacing w:line="276" w:lineRule="auto"/>
        <w:jc w:val="both"/>
        <w:rPr>
          <w:color w:val="000000"/>
        </w:rPr>
      </w:pPr>
      <w:r>
        <w:rPr>
          <w:color w:val="000000"/>
        </w:rPr>
        <w:t>the detector’s capability to perform flagship measurements with the proposed configuration;</w:t>
      </w:r>
    </w:p>
    <w:p w14:paraId="2FDECBBA" w14:textId="77777777" w:rsidR="009657E5" w:rsidRDefault="009657E5" w:rsidP="009657E5">
      <w:pPr>
        <w:pStyle w:val="NormalWeb"/>
        <w:numPr>
          <w:ilvl w:val="0"/>
          <w:numId w:val="44"/>
        </w:numPr>
        <w:spacing w:line="276" w:lineRule="auto"/>
        <w:jc w:val="both"/>
        <w:rPr>
          <w:color w:val="000000"/>
        </w:rPr>
      </w:pPr>
      <w:r>
        <w:rPr>
          <w:color w:val="000000"/>
        </w:rPr>
        <w:t>the justification of key technological decisions through empirical performance validation;</w:t>
      </w:r>
    </w:p>
    <w:p w14:paraId="113A6D79" w14:textId="77777777" w:rsidR="009657E5" w:rsidRDefault="009657E5" w:rsidP="009657E5">
      <w:pPr>
        <w:pStyle w:val="NormalWeb"/>
        <w:numPr>
          <w:ilvl w:val="0"/>
          <w:numId w:val="44"/>
        </w:numPr>
        <w:spacing w:line="276" w:lineRule="auto"/>
        <w:jc w:val="both"/>
        <w:rPr>
          <w:color w:val="000000"/>
        </w:rPr>
      </w:pPr>
      <w:r>
        <w:rPr>
          <w:color w:val="000000"/>
        </w:rPr>
        <w:t>a clear roadmap for further optimization; and</w:t>
      </w:r>
    </w:p>
    <w:p w14:paraId="098678B4" w14:textId="77777777" w:rsidR="009657E5" w:rsidRDefault="009657E5" w:rsidP="009657E5">
      <w:pPr>
        <w:pStyle w:val="NormalWeb"/>
        <w:numPr>
          <w:ilvl w:val="0"/>
          <w:numId w:val="44"/>
        </w:numPr>
        <w:spacing w:line="276" w:lineRule="auto"/>
        <w:jc w:val="both"/>
        <w:rPr>
          <w:color w:val="000000"/>
        </w:rPr>
      </w:pPr>
      <w:r>
        <w:rPr>
          <w:color w:val="000000"/>
        </w:rPr>
        <w:t>an informed awareness of operational constraints and procedures requiring refinement.</w:t>
      </w:r>
    </w:p>
    <w:p w14:paraId="7946C568" w14:textId="7529F8C6" w:rsidR="00556DE5" w:rsidRPr="00356E4A" w:rsidRDefault="009657E5" w:rsidP="00356E4A">
      <w:pPr>
        <w:pStyle w:val="NormalWeb"/>
        <w:spacing w:line="276" w:lineRule="auto"/>
        <w:jc w:val="both"/>
        <w:rPr>
          <w:color w:val="000000"/>
        </w:rPr>
      </w:pPr>
      <w:r>
        <w:rPr>
          <w:color w:val="000000"/>
        </w:rPr>
        <w:t>The physics analyses presented in this chapter provide invaluable guidance for validating the current technological choices and for strengthening the overall</w:t>
      </w:r>
      <w:r>
        <w:rPr>
          <w:rStyle w:val="apple-converted-space"/>
          <w:color w:val="000000"/>
        </w:rPr>
        <w:t> </w:t>
      </w:r>
      <w:r w:rsidRPr="009657E5">
        <w:rPr>
          <w:rStyle w:val="Strong"/>
          <w:b w:val="0"/>
          <w:bCs w:val="0"/>
          <w:color w:val="000000"/>
        </w:rPr>
        <w:t>physics case for future CEPC detectors</w:t>
      </w:r>
      <w:r>
        <w:rPr>
          <w:color w:val="000000"/>
        </w:rPr>
        <w:t>.</w:t>
      </w:r>
    </w:p>
    <w:p w14:paraId="33DBA21C" w14:textId="77777777" w:rsidR="00753A62" w:rsidRPr="00356E4A" w:rsidRDefault="00000000" w:rsidP="00753A62">
      <w:pPr>
        <w:jc w:val="both"/>
        <w:rPr>
          <w:b/>
          <w:sz w:val="28"/>
          <w:szCs w:val="28"/>
        </w:rPr>
      </w:pPr>
      <w:r w:rsidRPr="00356E4A">
        <w:rPr>
          <w:b/>
          <w:sz w:val="28"/>
          <w:szCs w:val="28"/>
        </w:rPr>
        <w:t>Recommendations</w:t>
      </w:r>
      <w:bookmarkStart w:id="18" w:name="_f6qob18pequ7" w:colFirst="0" w:colLast="0"/>
      <w:bookmarkEnd w:id="18"/>
    </w:p>
    <w:p w14:paraId="7A6EF737" w14:textId="3B91FFF5" w:rsidR="002B514B" w:rsidRDefault="002B514B" w:rsidP="002B514B">
      <w:pPr>
        <w:pStyle w:val="NormalWeb"/>
        <w:numPr>
          <w:ilvl w:val="0"/>
          <w:numId w:val="52"/>
        </w:numPr>
        <w:spacing w:line="276" w:lineRule="auto"/>
        <w:jc w:val="both"/>
      </w:pPr>
      <w:r>
        <w:t>While the detector performance section (15.1) is well advanced, the physics benchmark studies (15.2) — and in particular the treatment of essential experimental aspects such as luminosity determination, resonant depolarization, and alignment strategy (15.3) — remain at an early stage. The committee recommends that, following the established roadmap, the promising work already initiated be further developed to achieve a more comprehensive qualification of the Reference TDR detector performance, including realistic modelling of operational conditions.</w:t>
      </w:r>
    </w:p>
    <w:p w14:paraId="3002CFB7" w14:textId="44F087B4" w:rsidR="002B514B" w:rsidRDefault="002B514B" w:rsidP="002B514B">
      <w:pPr>
        <w:pStyle w:val="NormalWeb"/>
        <w:numPr>
          <w:ilvl w:val="0"/>
          <w:numId w:val="52"/>
        </w:numPr>
        <w:spacing w:line="276" w:lineRule="auto"/>
        <w:jc w:val="both"/>
      </w:pPr>
      <w:r>
        <w:t xml:space="preserve">The TDR places notable emphasis on the new JOI algorithm compared with the standard BDT </w:t>
      </w:r>
      <w:proofErr w:type="spellStart"/>
      <w:r>
        <w:t>XGBoost</w:t>
      </w:r>
      <w:proofErr w:type="spellEnd"/>
      <w:r>
        <w:t xml:space="preserve"> approach. The quark-flavour separation power achieved by JOI, as illustrated in Figure 15.15, is particularly promising. The committee encourages the collaboration to demonstrate its impact on sensitivity to the</w:t>
      </w:r>
      <w:r>
        <w:rPr>
          <w:rStyle w:val="apple-converted-space"/>
        </w:rPr>
        <w:t> </w:t>
      </w:r>
      <w:r w:rsidRPr="002B514B">
        <w:rPr>
          <w:rStyle w:val="Strong"/>
          <w:b w:val="0"/>
          <w:bCs w:val="0"/>
        </w:rPr>
        <w:t>H → ss</w:t>
      </w:r>
      <w:r>
        <w:rPr>
          <w:rStyle w:val="apple-converted-space"/>
        </w:rPr>
        <w:t> </w:t>
      </w:r>
      <w:r>
        <w:t>decay channel — a novel and distinctive measurement beyond the reach of current LHC experiments.</w:t>
      </w:r>
    </w:p>
    <w:p w14:paraId="0BA6FD2B" w14:textId="006B5096" w:rsidR="00941AB7" w:rsidRPr="002B514B" w:rsidRDefault="002B514B" w:rsidP="00356E4A">
      <w:pPr>
        <w:pStyle w:val="NormalWeb"/>
        <w:numPr>
          <w:ilvl w:val="0"/>
          <w:numId w:val="52"/>
        </w:numPr>
        <w:spacing w:line="276" w:lineRule="auto"/>
        <w:jc w:val="both"/>
      </w:pPr>
      <w:r>
        <w:t xml:space="preserve">Since Figure 15.7 indicates that charged kaons can be efficiently identified at the Z pole, the committee further recommends exploring the potential for measuring the forward–backward asymmetry </w:t>
      </w:r>
      <w:r w:rsidRPr="002B514B">
        <w:rPr>
          <w:b/>
          <w:bCs/>
        </w:rPr>
        <w:t>(</w:t>
      </w:r>
      <w:r w:rsidRPr="002B514B">
        <w:rPr>
          <w:rStyle w:val="Strong"/>
          <w:b w:val="0"/>
          <w:bCs w:val="0"/>
        </w:rPr>
        <w:t>A</w:t>
      </w:r>
      <w:r w:rsidRPr="002B514B">
        <w:rPr>
          <w:rStyle w:val="Strong"/>
          <w:b w:val="0"/>
          <w:bCs w:val="0"/>
          <w:vertAlign w:val="subscript"/>
        </w:rPr>
        <w:t>FB</w:t>
      </w:r>
      <w:r>
        <w:t>) in the</w:t>
      </w:r>
      <w:r>
        <w:rPr>
          <w:rStyle w:val="apple-converted-space"/>
        </w:rPr>
        <w:t> </w:t>
      </w:r>
      <w:r w:rsidRPr="002B514B">
        <w:rPr>
          <w:rStyle w:val="Strong"/>
          <w:b w:val="0"/>
          <w:bCs w:val="0"/>
        </w:rPr>
        <w:t>Z → ss</w:t>
      </w:r>
      <w:r>
        <w:rPr>
          <w:rStyle w:val="apple-converted-space"/>
        </w:rPr>
        <w:t> </w:t>
      </w:r>
      <w:r>
        <w:t>channel.</w:t>
      </w:r>
    </w:p>
    <w:p w14:paraId="2983AC7C" w14:textId="1C71C62F" w:rsidR="00556DE5" w:rsidRPr="00C3496D" w:rsidRDefault="00000000" w:rsidP="00C3496D">
      <w:pPr>
        <w:pStyle w:val="Heading1"/>
      </w:pPr>
      <w:r w:rsidRPr="00C3496D">
        <w:t>Cost of the reference detector</w:t>
      </w:r>
    </w:p>
    <w:p w14:paraId="70751915" w14:textId="3BBFD132" w:rsidR="00356E4A" w:rsidRPr="00356E4A" w:rsidRDefault="00356E4A" w:rsidP="00356E4A">
      <w:pPr>
        <w:jc w:val="both"/>
        <w:rPr>
          <w:b/>
          <w:sz w:val="28"/>
          <w:szCs w:val="28"/>
        </w:rPr>
      </w:pPr>
      <w:r w:rsidRPr="004858DC">
        <w:rPr>
          <w:b/>
          <w:sz w:val="28"/>
          <w:szCs w:val="28"/>
        </w:rPr>
        <w:t>Assessment</w:t>
      </w:r>
    </w:p>
    <w:p w14:paraId="315C9B0B" w14:textId="04F9711D" w:rsidR="00753A62" w:rsidRPr="00753A62" w:rsidRDefault="00753A62" w:rsidP="00F73A4B">
      <w:pPr>
        <w:spacing w:before="100" w:beforeAutospacing="1" w:after="100" w:afterAutospacing="1" w:line="276" w:lineRule="auto"/>
        <w:jc w:val="both"/>
        <w:rPr>
          <w:color w:val="000000"/>
        </w:rPr>
      </w:pPr>
      <w:r w:rsidRPr="00753A62">
        <w:rPr>
          <w:color w:val="000000"/>
        </w:rPr>
        <w:t xml:space="preserve">The cost estimation is derived from a Work Breakdown Structure (WBS), summarised in standardised tables. Detailed cost breakdowns for each sub-detector corresponding to the baseline configuration are presented in Chapter 16 of the TDR. The estimates are based on raw material </w:t>
      </w:r>
      <w:r w:rsidRPr="00753A62">
        <w:rPr>
          <w:color w:val="000000"/>
        </w:rPr>
        <w:lastRenderedPageBreak/>
        <w:t>prices—evaluated by volume, weight, or area—projected over the next five to ten years and adjusted using appropriate fabrication factors.</w:t>
      </w:r>
    </w:p>
    <w:p w14:paraId="48B4CC83" w14:textId="205B91A8" w:rsidR="00753A62" w:rsidRPr="00753A62" w:rsidRDefault="00753A62" w:rsidP="00F73A4B">
      <w:pPr>
        <w:spacing w:before="100" w:beforeAutospacing="1" w:after="100" w:afterAutospacing="1" w:line="276" w:lineRule="auto"/>
        <w:jc w:val="both"/>
        <w:rPr>
          <w:color w:val="000000"/>
        </w:rPr>
      </w:pPr>
      <w:r w:rsidRPr="00753A62">
        <w:rPr>
          <w:color w:val="000000"/>
        </w:rPr>
        <w:t>During the review, the committee recommended that the WBS be further refined to explicitly distinguish between</w:t>
      </w:r>
      <w:r>
        <w:rPr>
          <w:color w:val="000000"/>
        </w:rPr>
        <w:t xml:space="preserve"> </w:t>
      </w:r>
      <w:proofErr w:type="spellStart"/>
      <w:r w:rsidRPr="00753A62">
        <w:rPr>
          <w:color w:val="000000"/>
        </w:rPr>
        <w:t>i</w:t>
      </w:r>
      <w:proofErr w:type="spellEnd"/>
      <w:r w:rsidRPr="00753A62">
        <w:rPr>
          <w:color w:val="000000"/>
        </w:rPr>
        <w:t xml:space="preserve">) the cost of raw </w:t>
      </w:r>
      <w:proofErr w:type="gramStart"/>
      <w:r w:rsidRPr="00753A62">
        <w:rPr>
          <w:color w:val="000000"/>
        </w:rPr>
        <w:t>materials</w:t>
      </w:r>
      <w:r>
        <w:rPr>
          <w:color w:val="000000"/>
        </w:rPr>
        <w:t xml:space="preserve">;  </w:t>
      </w:r>
      <w:r w:rsidRPr="00753A62">
        <w:rPr>
          <w:color w:val="000000"/>
        </w:rPr>
        <w:t>ii</w:t>
      </w:r>
      <w:proofErr w:type="gramEnd"/>
      <w:r w:rsidRPr="00753A62">
        <w:rPr>
          <w:color w:val="000000"/>
        </w:rPr>
        <w:t>) the cost of production</w:t>
      </w:r>
      <w:r>
        <w:rPr>
          <w:color w:val="000000"/>
        </w:rPr>
        <w:t xml:space="preserve">;  </w:t>
      </w:r>
      <w:r w:rsidRPr="00753A62">
        <w:rPr>
          <w:color w:val="000000"/>
        </w:rPr>
        <w:t>iii) the cost of labour</w:t>
      </w:r>
      <w:r>
        <w:rPr>
          <w:color w:val="000000"/>
        </w:rPr>
        <w:t>;</w:t>
      </w:r>
      <w:r w:rsidRPr="00753A62">
        <w:rPr>
          <w:color w:val="000000"/>
        </w:rPr>
        <w:t xml:space="preserve"> and</w:t>
      </w:r>
      <w:r>
        <w:rPr>
          <w:color w:val="000000"/>
        </w:rPr>
        <w:t xml:space="preserve"> </w:t>
      </w:r>
      <w:r w:rsidRPr="00753A62">
        <w:rPr>
          <w:color w:val="000000"/>
        </w:rPr>
        <w:t>iv) the cost of integration.</w:t>
      </w:r>
    </w:p>
    <w:p w14:paraId="5B169D6C" w14:textId="77777777" w:rsidR="00753A62" w:rsidRPr="00753A62" w:rsidRDefault="00753A62" w:rsidP="00F73A4B">
      <w:pPr>
        <w:spacing w:before="100" w:beforeAutospacing="1" w:after="100" w:afterAutospacing="1" w:line="276" w:lineRule="auto"/>
        <w:jc w:val="both"/>
        <w:rPr>
          <w:color w:val="000000"/>
        </w:rPr>
      </w:pPr>
      <w:r w:rsidRPr="00753A62">
        <w:rPr>
          <w:color w:val="000000"/>
        </w:rPr>
        <w:t>It was also advised that the TDR should clearly state whether the quoted costs include yield</w:t>
      </w:r>
      <w:r w:rsidRPr="00753A62">
        <w:rPr>
          <w:b/>
          <w:bCs/>
          <w:color w:val="000000"/>
        </w:rPr>
        <w:t xml:space="preserve"> </w:t>
      </w:r>
      <w:r w:rsidRPr="00753A62">
        <w:rPr>
          <w:color w:val="000000"/>
        </w:rPr>
        <w:t>losses. While these refinements are understood to be ongoing, the information currently provided is considered adequate for the present stage.</w:t>
      </w:r>
    </w:p>
    <w:p w14:paraId="4BAE4580" w14:textId="5537409F" w:rsidR="00722372" w:rsidRDefault="00753A62" w:rsidP="00F73A4B">
      <w:pPr>
        <w:spacing w:before="100" w:beforeAutospacing="1" w:after="100" w:afterAutospacing="1" w:line="276" w:lineRule="auto"/>
        <w:jc w:val="both"/>
        <w:rPr>
          <w:color w:val="000000"/>
        </w:rPr>
      </w:pPr>
      <w:r w:rsidRPr="00753A62">
        <w:rPr>
          <w:color w:val="000000"/>
        </w:rPr>
        <w:t>Overall, the committee finds the cost evaluation for the reference detector to be well structured, robust, and consistent with comparable assessments from other large-scale experimental projects.</w:t>
      </w:r>
    </w:p>
    <w:p w14:paraId="012CED85" w14:textId="77777777" w:rsidR="00B85411" w:rsidRDefault="00B85411" w:rsidP="00B85411">
      <w:pPr>
        <w:pStyle w:val="Heading1"/>
        <w:spacing w:before="0" w:after="0"/>
        <w:rPr>
          <w:color w:val="000000"/>
        </w:rPr>
      </w:pPr>
      <w:bookmarkStart w:id="19" w:name="_jfwyvfn7m9v8" w:colFirst="0" w:colLast="0"/>
      <w:bookmarkEnd w:id="19"/>
      <w:r>
        <w:rPr>
          <w:color w:val="000000"/>
        </w:rPr>
        <w:t>Response to the Charge</w:t>
      </w:r>
    </w:p>
    <w:p w14:paraId="5362D40B" w14:textId="77777777" w:rsidR="00B85411" w:rsidRPr="00B85411" w:rsidRDefault="00B85411" w:rsidP="00B85411"/>
    <w:p w14:paraId="5B9F1878"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Status of R&amp;D for the CEPC detectors</w:t>
      </w:r>
    </w:p>
    <w:p w14:paraId="7D324DDA" w14:textId="1A8604E4" w:rsidR="00B85411" w:rsidRDefault="00B85411" w:rsidP="00F73A4B">
      <w:pPr>
        <w:pStyle w:val="NormalWeb"/>
        <w:spacing w:before="0" w:beforeAutospacing="0" w:after="0" w:afterAutospacing="0" w:line="276" w:lineRule="auto"/>
        <w:ind w:left="720"/>
        <w:jc w:val="both"/>
        <w:rPr>
          <w:color w:val="000000"/>
        </w:rPr>
      </w:pPr>
      <w:r>
        <w:rPr>
          <w:color w:val="000000"/>
        </w:rPr>
        <w:t>The Ref-TDR describes a coherent detector concept with tangible progress across subsystems. Highlights include validated concepts for the MDI and IP beam pipe (cooling, SR masking, shielding), an advanced vertex programme (CVTX/PVTX) with credible fallbacks, steady development of silicon trackers (COFFEE3, LATRIC-V0), a well-specified TPC baseline (mechanics, gas, front-end options), and calorimetry aligned with PFA (BGO-crystal ECAL, glass-scintillator HCAL). Muon-system R&amp;D demonstrates five-metre bars with ~ns timing, and TDAQ/software are built on scalable, proven architectures. The programme is ready to transition from component R&amp;D to integrated prototyping and system validation.</w:t>
      </w:r>
    </w:p>
    <w:p w14:paraId="5999DF92"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Clarity and alignment of detector design objectives</w:t>
      </w:r>
    </w:p>
    <w:p w14:paraId="07F0298F" w14:textId="1F15D87C" w:rsidR="00B85411" w:rsidRDefault="00B85411" w:rsidP="00F73A4B">
      <w:pPr>
        <w:pStyle w:val="NormalWeb"/>
        <w:spacing w:before="0" w:beforeAutospacing="0" w:after="0" w:afterAutospacing="0" w:line="276" w:lineRule="auto"/>
        <w:ind w:left="720"/>
        <w:jc w:val="both"/>
        <w:rPr>
          <w:color w:val="000000"/>
        </w:rPr>
      </w:pPr>
      <w:r>
        <w:rPr>
          <w:color w:val="000000"/>
        </w:rPr>
        <w:t>Physics objectives are translated into explicit detector requirements (e.g., 4% di-boson mass resolution; μ</w:t>
      </w:r>
      <w:r w:rsidR="00F73A4B">
        <w:rPr>
          <w:color w:val="000000"/>
        </w:rPr>
        <w:t>(</w:t>
      </w:r>
      <w:r>
        <w:rPr>
          <w:color w:val="000000"/>
        </w:rPr>
        <w:t>ID</w:t>
      </w:r>
      <w:r w:rsidR="00F73A4B">
        <w:rPr>
          <w:color w:val="000000"/>
        </w:rPr>
        <w:t>)</w:t>
      </w:r>
      <w:r>
        <w:rPr>
          <w:color w:val="000000"/>
        </w:rPr>
        <w:t xml:space="preserve"> &gt;95% and π→μ &lt;1%; ~2</w:t>
      </w:r>
      <w:r w:rsidR="005842D0">
        <w:rPr>
          <w:color w:val="000000"/>
        </w:rPr>
        <w:t xml:space="preserve"> </w:t>
      </w:r>
      <w:proofErr w:type="spellStart"/>
      <w:r>
        <w:rPr>
          <w:color w:val="000000"/>
        </w:rPr>
        <w:t>μm</w:t>
      </w:r>
      <w:proofErr w:type="spellEnd"/>
      <w:r>
        <w:rPr>
          <w:color w:val="000000"/>
        </w:rPr>
        <w:t xml:space="preserve"> </w:t>
      </w:r>
      <w:r w:rsidR="00F73A4B" w:rsidRPr="00F73A4B">
        <w:rPr>
          <w:rFonts w:eastAsia="Arial"/>
        </w:rPr>
        <w:t>asymptotic</w:t>
      </w:r>
      <w:r w:rsidR="00F73A4B">
        <w:rPr>
          <w:rFonts w:eastAsia="Arial"/>
          <w:i/>
          <w:iCs/>
        </w:rPr>
        <w:t xml:space="preserve"> </w:t>
      </w:r>
      <w:r>
        <w:rPr>
          <w:color w:val="000000"/>
        </w:rPr>
        <w:t>impact</w:t>
      </w:r>
      <w:r w:rsidR="00F73A4B">
        <w:rPr>
          <w:color w:val="000000"/>
        </w:rPr>
        <w:t xml:space="preserve"> </w:t>
      </w:r>
      <w:r>
        <w:rPr>
          <w:color w:val="000000"/>
        </w:rPr>
        <w:t>parameter precision; rate/occupancy envelopes by running mode). These propagate consistently to granularity, material budget, timing, cooling, and DAQ specifications, and are used to benchmark performance in integrated simulation and reconstruction.</w:t>
      </w:r>
    </w:p>
    <w:p w14:paraId="76398B9C"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Design and key technologies versus performance goals</w:t>
      </w:r>
    </w:p>
    <w:p w14:paraId="2901CC7A" w14:textId="340060D0" w:rsidR="00B85411" w:rsidRDefault="00B85411" w:rsidP="00F73A4B">
      <w:pPr>
        <w:pStyle w:val="NormalWeb"/>
        <w:spacing w:before="0" w:beforeAutospacing="0" w:after="0" w:afterAutospacing="0" w:line="276" w:lineRule="auto"/>
        <w:ind w:left="720"/>
        <w:jc w:val="both"/>
        <w:rPr>
          <w:color w:val="000000"/>
        </w:rPr>
      </w:pPr>
      <w:r>
        <w:rPr>
          <w:color w:val="000000"/>
        </w:rPr>
        <w:t xml:space="preserve">The chosen technologies are consistent with the stated performance targets: curved MAPS with very low material for vertexing; HV-CMOS pixels and AC-LGADs for inner/outer silicon tracking; a lightweight, mechanically robust TPC with defined front-end options; a homogeneous, highly granular ECAL and finely segmented HCAL compatible with PFA; plastic-scintillator muon planes with dual-ended </w:t>
      </w:r>
      <w:proofErr w:type="spellStart"/>
      <w:r>
        <w:rPr>
          <w:color w:val="000000"/>
        </w:rPr>
        <w:t>SiPM</w:t>
      </w:r>
      <w:proofErr w:type="spellEnd"/>
      <w:r>
        <w:rPr>
          <w:color w:val="000000"/>
        </w:rPr>
        <w:t xml:space="preserve"> timing near 1 ns; and a triggerless readout with a scalable three-level trigger and heterogeneous HLT. Prototype measurements and detailed simulations substantiate these choices.</w:t>
      </w:r>
    </w:p>
    <w:p w14:paraId="6013B5E6"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lastRenderedPageBreak/>
        <w:t>Feasibility/readiness of critical technologies toward ~2028</w:t>
      </w:r>
    </w:p>
    <w:p w14:paraId="76EF9DC6" w14:textId="0D8EE99A" w:rsidR="00B85411" w:rsidRDefault="00B85411" w:rsidP="00F73A4B">
      <w:pPr>
        <w:pStyle w:val="NormalWeb"/>
        <w:spacing w:before="0" w:beforeAutospacing="0" w:after="0" w:afterAutospacing="0" w:line="276" w:lineRule="auto"/>
        <w:ind w:left="720"/>
        <w:jc w:val="both"/>
        <w:rPr>
          <w:color w:val="000000"/>
        </w:rPr>
      </w:pPr>
      <w:r>
        <w:rPr>
          <w:color w:val="000000"/>
        </w:rPr>
        <w:t xml:space="preserve">Critical elements have credible paths to readiness: access to TPSCo-65 nm MAPS with PVTX fallback; the COFFEE ASIC roadmap with beam tests; evolution of LATRIC to multi-channel devices; industrialisation of Al-stabilised superconductors (with hybrid/welded fallback); thermo-mechanical mock-ups to decide water versus </w:t>
      </w:r>
      <w:proofErr w:type="spellStart"/>
      <w:r>
        <w:rPr>
          <w:color w:val="000000"/>
        </w:rPr>
        <w:t>sCO</w:t>
      </w:r>
      <w:proofErr w:type="spellEnd"/>
      <w:r>
        <w:rPr>
          <w:color w:val="000000"/>
        </w:rPr>
        <w:t>₂ cooling; tile-uniformity QA/QC for glass scintillators; and sector-scale muon modules validating timing, thresholds, and services. The plan emphasizes integrated demonstrators and early production-like QA/QC to reduce schedule and yield risk.</w:t>
      </w:r>
    </w:p>
    <w:p w14:paraId="0A01CC22"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Primary technical risks and mitigation</w:t>
      </w:r>
    </w:p>
    <w:p w14:paraId="1959461F" w14:textId="39A1DBE8" w:rsidR="00B85411" w:rsidRDefault="00B85411" w:rsidP="00F73A4B">
      <w:pPr>
        <w:pStyle w:val="NormalWeb"/>
        <w:spacing w:before="0" w:beforeAutospacing="0" w:after="0" w:afterAutospacing="0" w:line="276" w:lineRule="auto"/>
        <w:ind w:left="720"/>
        <w:jc w:val="both"/>
        <w:rPr>
          <w:color w:val="000000"/>
        </w:rPr>
      </w:pPr>
      <w:r>
        <w:rPr>
          <w:color w:val="000000"/>
        </w:rPr>
        <w:t>Principal risks include MDI background envelopes, access to advanced sensor processes, ultra-low-mass vertex cooling/mechanics, ASIC architecture and verification, HCAL tile uniformity with single-</w:t>
      </w:r>
      <w:proofErr w:type="spellStart"/>
      <w:r>
        <w:rPr>
          <w:color w:val="000000"/>
        </w:rPr>
        <w:t>SiPM</w:t>
      </w:r>
      <w:proofErr w:type="spellEnd"/>
      <w:r>
        <w:rPr>
          <w:color w:val="000000"/>
        </w:rPr>
        <w:t xml:space="preserve"> readout, TPC space-charge/ion-backflow control, magnet field uniformity in the TPC volume, and cryogenic redundancy. Mitigations are defined: iterative machine–detector background studies and shielding optimisation; PVTX fallback; thermal mock-ups and airflow/</w:t>
      </w:r>
      <w:proofErr w:type="spellStart"/>
      <w:r>
        <w:rPr>
          <w:color w:val="000000"/>
        </w:rPr>
        <w:t>sCO</w:t>
      </w:r>
      <w:proofErr w:type="spellEnd"/>
      <w:r>
        <w:rPr>
          <w:color w:val="000000"/>
        </w:rPr>
        <w:t>₂ trade-offs; independent ASIC verification plus staged beam tests; a robust HCAL QA/QC chain and large-scale prototype; ion-backflow prototypes; field-uniformity requirements agreed with the TPC team; and a control dewar with redundant quench protection.</w:t>
      </w:r>
    </w:p>
    <w:p w14:paraId="76E48C08"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Readiness for construction after R&amp;D and engineering preparations</w:t>
      </w:r>
    </w:p>
    <w:p w14:paraId="08EA08F7" w14:textId="214EBFE8" w:rsidR="00B85411" w:rsidRDefault="00B85411" w:rsidP="00F73A4B">
      <w:pPr>
        <w:pStyle w:val="NormalWeb"/>
        <w:spacing w:before="0" w:beforeAutospacing="0" w:after="0" w:afterAutospacing="0" w:line="276" w:lineRule="auto"/>
        <w:ind w:left="720"/>
        <w:jc w:val="both"/>
        <w:rPr>
          <w:color w:val="000000"/>
        </w:rPr>
      </w:pPr>
      <w:r>
        <w:rPr>
          <w:color w:val="000000"/>
        </w:rPr>
        <w:t>With sector/module demonstrators, thermal and mechanical mock-ups, full DAQ chains, and formal design/production reviews (FDR/PRR), the project can credibly achieve production readiness. The Ref-TDR supports early industrial engagement; remaining work is system-level validation and final down-selection on an agreed schedule.</w:t>
      </w:r>
    </w:p>
    <w:p w14:paraId="11326987"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Advisory comments on cost evaluation</w:t>
      </w:r>
    </w:p>
    <w:p w14:paraId="6F9054E0" w14:textId="06CDF758" w:rsidR="00B85411" w:rsidRDefault="00B85411" w:rsidP="00F73A4B">
      <w:pPr>
        <w:pStyle w:val="NormalWeb"/>
        <w:spacing w:before="0" w:beforeAutospacing="0" w:after="0" w:afterAutospacing="0" w:line="276" w:lineRule="auto"/>
        <w:ind w:left="720"/>
        <w:jc w:val="both"/>
        <w:rPr>
          <w:color w:val="000000"/>
        </w:rPr>
      </w:pPr>
      <w:r>
        <w:rPr>
          <w:color w:val="000000"/>
        </w:rPr>
        <w:t>The WBS is appropriately structured and comparable to peer projects. For improved fidelity, costs should be presented with explicit separation of materials, fabrication, labour, and integration, and should state yield assumptions and QA/QC overheads. This will strengthen cost/risk control as designs freeze and prototypes scale.</w:t>
      </w:r>
    </w:p>
    <w:p w14:paraId="67065830" w14:textId="77777777" w:rsidR="00B85411" w:rsidRP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Additional observations and suggestions</w:t>
      </w:r>
    </w:p>
    <w:p w14:paraId="0A7FC4DC" w14:textId="2696B021" w:rsidR="00B85411" w:rsidRDefault="00B85411" w:rsidP="00F73A4B">
      <w:pPr>
        <w:pStyle w:val="NormalWeb"/>
        <w:spacing w:before="0" w:beforeAutospacing="0" w:after="0" w:afterAutospacing="0" w:line="276" w:lineRule="auto"/>
        <w:ind w:left="720"/>
        <w:jc w:val="both"/>
        <w:rPr>
          <w:color w:val="000000"/>
        </w:rPr>
      </w:pPr>
      <w:r>
        <w:rPr>
          <w:color w:val="000000"/>
        </w:rPr>
        <w:t xml:space="preserve">Priorities include converging on stable software baselines and reference performance plots; documenting the energy-deposit ↔ photoelectron ↔ threshold chain where relevant; publishing tile characterisation and intra-tile uniformity; completing </w:t>
      </w:r>
      <w:proofErr w:type="spellStart"/>
      <w:r>
        <w:rPr>
          <w:color w:val="000000"/>
        </w:rPr>
        <w:t>SiPM</w:t>
      </w:r>
      <w:proofErr w:type="spellEnd"/>
      <w:r>
        <w:rPr>
          <w:color w:val="000000"/>
        </w:rPr>
        <w:t xml:space="preserve"> down-selection via a transparent scorecard; and extending physics studies to channels that leverage CEPC strengths (e.g., </w:t>
      </w:r>
      <w:proofErr w:type="spellStart"/>
      <w:r>
        <w:rPr>
          <w:color w:val="000000"/>
        </w:rPr>
        <w:t>H→ss</w:t>
      </w:r>
      <w:proofErr w:type="spellEnd"/>
      <w:r>
        <w:rPr>
          <w:color w:val="000000"/>
        </w:rPr>
        <w:t xml:space="preserve">, </w:t>
      </w:r>
      <w:proofErr w:type="spellStart"/>
      <w:r>
        <w:rPr>
          <w:color w:val="000000"/>
        </w:rPr>
        <w:t>Z→ss</w:t>
      </w:r>
      <w:proofErr w:type="spellEnd"/>
      <w:r>
        <w:rPr>
          <w:color w:val="000000"/>
        </w:rPr>
        <w:t xml:space="preserve"> AFB).</w:t>
      </w:r>
    </w:p>
    <w:p w14:paraId="6D51933E" w14:textId="77777777" w:rsidR="00B85411" w:rsidRDefault="00B85411" w:rsidP="00F73A4B">
      <w:pPr>
        <w:pStyle w:val="NormalWeb"/>
        <w:numPr>
          <w:ilvl w:val="0"/>
          <w:numId w:val="50"/>
        </w:numPr>
        <w:spacing w:before="0" w:beforeAutospacing="0" w:after="0" w:afterAutospacing="0" w:line="276" w:lineRule="auto"/>
        <w:jc w:val="both"/>
        <w:rPr>
          <w:rStyle w:val="Strong"/>
          <w:b w:val="0"/>
          <w:bCs w:val="0"/>
          <w:color w:val="000000"/>
        </w:rPr>
      </w:pPr>
      <w:r>
        <w:rPr>
          <w:rStyle w:val="Strong"/>
          <w:color w:val="000000"/>
        </w:rPr>
        <w:t>Framework for subsequent review</w:t>
      </w:r>
    </w:p>
    <w:p w14:paraId="3B13282A" w14:textId="78FBC215" w:rsidR="00B85411" w:rsidRPr="00B85411" w:rsidRDefault="00B85411" w:rsidP="00F73A4B">
      <w:pPr>
        <w:pStyle w:val="NormalWeb"/>
        <w:spacing w:before="0" w:beforeAutospacing="0" w:after="0" w:afterAutospacing="0" w:line="276" w:lineRule="auto"/>
        <w:ind w:left="720"/>
        <w:jc w:val="both"/>
        <w:rPr>
          <w:color w:val="000000"/>
        </w:rPr>
      </w:pPr>
      <w:r w:rsidRPr="00B85411">
        <w:rPr>
          <w:color w:val="000000"/>
        </w:rPr>
        <w:t>A staged roadmap is proposed: subsystem integration tests and sector prototypes; thermal/structural qualification; ASIC versioning with defined gates to beam tests; magnet-conductor and model-coil qualification; system DAQ runs with background overlays; and formal FDR/PRR milestones. This provides a clear structure for continued external evaluation as the project moves from design to pre-production.</w:t>
      </w:r>
    </w:p>
    <w:p w14:paraId="720A2218" w14:textId="77777777" w:rsidR="00556DE5" w:rsidRDefault="00000000">
      <w:pPr>
        <w:pStyle w:val="Heading1"/>
        <w:jc w:val="both"/>
      </w:pPr>
      <w:r>
        <w:lastRenderedPageBreak/>
        <w:t>APPENDIX I</w:t>
      </w:r>
    </w:p>
    <w:p w14:paraId="3AD1A732" w14:textId="77777777" w:rsidR="002B514B" w:rsidRPr="002B514B" w:rsidRDefault="002B514B" w:rsidP="00F73A4B">
      <w:pPr>
        <w:pStyle w:val="NormalWeb"/>
        <w:spacing w:line="276" w:lineRule="auto"/>
        <w:rPr>
          <w:color w:val="000000" w:themeColor="text1"/>
        </w:rPr>
      </w:pPr>
      <w:bookmarkStart w:id="20" w:name="_902woxl33x48" w:colFirst="0" w:colLast="0"/>
      <w:bookmarkEnd w:id="20"/>
      <w:r w:rsidRPr="002B514B">
        <w:rPr>
          <w:color w:val="000000" w:themeColor="text1"/>
        </w:rPr>
        <w:t>The International Detector Review Committee:</w:t>
      </w:r>
    </w:p>
    <w:p w14:paraId="16723E19" w14:textId="358B3A02"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Daniela Bortoletto, University of Oxford, Oxford (Chair)</w:t>
      </w:r>
      <w:r w:rsidR="005842D0">
        <w:rPr>
          <w:color w:val="000000" w:themeColor="text1"/>
        </w:rPr>
        <w:t>, UK</w:t>
      </w:r>
    </w:p>
    <w:p w14:paraId="5088129F" w14:textId="17FBADC1"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Jim Brau, University of Oregon, Eugene, O</w:t>
      </w:r>
      <w:r w:rsidR="005842D0">
        <w:rPr>
          <w:color w:val="000000" w:themeColor="text1"/>
        </w:rPr>
        <w:t>regon, US</w:t>
      </w:r>
    </w:p>
    <w:p w14:paraId="5B08BE15" w14:textId="5FCC2631"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 xml:space="preserve">Anna </w:t>
      </w:r>
      <w:proofErr w:type="spellStart"/>
      <w:r w:rsidRPr="002B514B">
        <w:rPr>
          <w:color w:val="000000" w:themeColor="text1"/>
          <w:lang w:val="it-IT"/>
        </w:rPr>
        <w:t>Colaleo</w:t>
      </w:r>
      <w:proofErr w:type="spellEnd"/>
      <w:r w:rsidRPr="002B514B">
        <w:rPr>
          <w:color w:val="000000" w:themeColor="text1"/>
          <w:lang w:val="it-IT"/>
        </w:rPr>
        <w:t xml:space="preserve">, </w:t>
      </w:r>
      <w:r w:rsidR="005665DD">
        <w:rPr>
          <w:color w:val="000000" w:themeColor="text1"/>
          <w:lang w:val="it-IT"/>
        </w:rPr>
        <w:t xml:space="preserve">University and </w:t>
      </w:r>
      <w:r w:rsidRPr="002B514B">
        <w:rPr>
          <w:color w:val="000000" w:themeColor="text1"/>
          <w:lang w:val="it-IT"/>
        </w:rPr>
        <w:t>INFN Bari</w:t>
      </w:r>
      <w:r w:rsidR="005842D0">
        <w:rPr>
          <w:color w:val="000000" w:themeColor="text1"/>
          <w:lang w:val="it-IT"/>
        </w:rPr>
        <w:t xml:space="preserve">, </w:t>
      </w:r>
      <w:r w:rsidR="00F73A4B">
        <w:rPr>
          <w:color w:val="000000" w:themeColor="text1"/>
          <w:lang w:val="it-IT"/>
        </w:rPr>
        <w:t xml:space="preserve">Bari, </w:t>
      </w:r>
      <w:proofErr w:type="spellStart"/>
      <w:r w:rsidR="005842D0">
        <w:rPr>
          <w:color w:val="000000" w:themeColor="text1"/>
          <w:lang w:val="it-IT"/>
        </w:rPr>
        <w:t>Italy</w:t>
      </w:r>
      <w:proofErr w:type="spellEnd"/>
    </w:p>
    <w:p w14:paraId="426F4F87" w14:textId="152D3235"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 xml:space="preserve">Paul </w:t>
      </w:r>
      <w:proofErr w:type="spellStart"/>
      <w:r w:rsidRPr="002B514B">
        <w:rPr>
          <w:color w:val="000000" w:themeColor="text1"/>
          <w:lang w:val="it-IT"/>
        </w:rPr>
        <w:t>Colas</w:t>
      </w:r>
      <w:proofErr w:type="spellEnd"/>
      <w:r w:rsidRPr="002B514B">
        <w:rPr>
          <w:color w:val="000000" w:themeColor="text1"/>
          <w:lang w:val="it-IT"/>
        </w:rPr>
        <w:t>, CEA, Paris</w:t>
      </w:r>
      <w:r w:rsidR="005842D0">
        <w:rPr>
          <w:color w:val="000000" w:themeColor="text1"/>
          <w:lang w:val="it-IT"/>
        </w:rPr>
        <w:t>, France</w:t>
      </w:r>
    </w:p>
    <w:p w14:paraId="77484188" w14:textId="25F77803"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 xml:space="preserve">Christophe De La </w:t>
      </w:r>
      <w:proofErr w:type="spellStart"/>
      <w:r w:rsidRPr="002B514B">
        <w:rPr>
          <w:color w:val="000000" w:themeColor="text1"/>
          <w:lang w:val="it-IT"/>
        </w:rPr>
        <w:t>Taille</w:t>
      </w:r>
      <w:proofErr w:type="spellEnd"/>
      <w:r w:rsidRPr="002B514B">
        <w:rPr>
          <w:color w:val="000000" w:themeColor="text1"/>
          <w:lang w:val="it-IT"/>
        </w:rPr>
        <w:t xml:space="preserve">, OMEGA </w:t>
      </w:r>
      <w:proofErr w:type="spellStart"/>
      <w:r w:rsidRPr="002B514B">
        <w:rPr>
          <w:color w:val="000000" w:themeColor="text1"/>
          <w:lang w:val="it-IT"/>
        </w:rPr>
        <w:t>Laboratory</w:t>
      </w:r>
      <w:proofErr w:type="spellEnd"/>
      <w:r w:rsidRPr="002B514B">
        <w:rPr>
          <w:color w:val="000000" w:themeColor="text1"/>
          <w:lang w:val="it-IT"/>
        </w:rPr>
        <w:t>, CNRS, Orsay</w:t>
      </w:r>
      <w:r w:rsidR="005842D0">
        <w:rPr>
          <w:color w:val="000000" w:themeColor="text1"/>
          <w:lang w:val="it-IT"/>
        </w:rPr>
        <w:t>, France</w:t>
      </w:r>
    </w:p>
    <w:p w14:paraId="7D683A4C" w14:textId="497ECD55"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rPr>
        <w:t>Cristinel Diaconu, CPPM, CNRS/IN2P3 and Aix-Marseille University</w:t>
      </w:r>
      <w:r w:rsidR="005842D0">
        <w:rPr>
          <w:color w:val="000000" w:themeColor="text1"/>
        </w:rPr>
        <w:t>, France</w:t>
      </w:r>
    </w:p>
    <w:p w14:paraId="3B0D4C2C" w14:textId="1A89D4B2" w:rsidR="002B514B" w:rsidRPr="005842D0" w:rsidRDefault="002B514B" w:rsidP="00F73A4B">
      <w:pPr>
        <w:pStyle w:val="NormalWeb"/>
        <w:numPr>
          <w:ilvl w:val="0"/>
          <w:numId w:val="54"/>
        </w:numPr>
        <w:spacing w:line="276" w:lineRule="auto"/>
        <w:rPr>
          <w:color w:val="000000" w:themeColor="text1"/>
        </w:rPr>
      </w:pPr>
      <w:r w:rsidRPr="002B514B">
        <w:rPr>
          <w:color w:val="000000" w:themeColor="text1"/>
        </w:rPr>
        <w:t>Frank Gaede, DESY, Hamburg</w:t>
      </w:r>
      <w:r w:rsidR="005842D0">
        <w:rPr>
          <w:color w:val="000000" w:themeColor="text1"/>
        </w:rPr>
        <w:t>, Germany</w:t>
      </w:r>
    </w:p>
    <w:p w14:paraId="76DD0610" w14:textId="01EB0BB9"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Colin Gay, University of British Columbia, Vancouver</w:t>
      </w:r>
      <w:r w:rsidR="005842D0">
        <w:rPr>
          <w:color w:val="000000" w:themeColor="text1"/>
        </w:rPr>
        <w:t>, Canada</w:t>
      </w:r>
    </w:p>
    <w:p w14:paraId="7B82D47F" w14:textId="4D720A08"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Liang Han, University of Science and Technology of China, Hefei, Anhui</w:t>
      </w:r>
      <w:r w:rsidR="005842D0">
        <w:rPr>
          <w:color w:val="000000" w:themeColor="text1"/>
        </w:rPr>
        <w:t>, China</w:t>
      </w:r>
    </w:p>
    <w:p w14:paraId="7B09BEF8" w14:textId="33CC0D9A"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Bob Kowalewski, University of Victoria, Victoria</w:t>
      </w:r>
      <w:r w:rsidR="005842D0">
        <w:rPr>
          <w:color w:val="000000" w:themeColor="text1"/>
        </w:rPr>
        <w:t>, Canada</w:t>
      </w:r>
    </w:p>
    <w:p w14:paraId="0EF386EF" w14:textId="229B3B1C"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 xml:space="preserve">Gregor </w:t>
      </w:r>
      <w:proofErr w:type="spellStart"/>
      <w:r w:rsidRPr="002B514B">
        <w:rPr>
          <w:color w:val="000000" w:themeColor="text1"/>
        </w:rPr>
        <w:t>Kramberger</w:t>
      </w:r>
      <w:proofErr w:type="spellEnd"/>
      <w:r w:rsidRPr="002B514B">
        <w:rPr>
          <w:color w:val="000000" w:themeColor="text1"/>
        </w:rPr>
        <w:t xml:space="preserve">, </w:t>
      </w:r>
      <w:proofErr w:type="spellStart"/>
      <w:r w:rsidRPr="002B514B">
        <w:rPr>
          <w:color w:val="000000" w:themeColor="text1"/>
        </w:rPr>
        <w:t>Joˇzef</w:t>
      </w:r>
      <w:proofErr w:type="spellEnd"/>
      <w:r w:rsidRPr="002B514B">
        <w:rPr>
          <w:color w:val="000000" w:themeColor="text1"/>
        </w:rPr>
        <w:t xml:space="preserve"> Stefan Institute, Ljubljana</w:t>
      </w:r>
      <w:r w:rsidR="005842D0">
        <w:rPr>
          <w:color w:val="000000" w:themeColor="text1"/>
        </w:rPr>
        <w:t>, Slovenia</w:t>
      </w:r>
    </w:p>
    <w:p w14:paraId="76BC75F4" w14:textId="5C79FF2D"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 xml:space="preserve">Roman </w:t>
      </w:r>
      <w:proofErr w:type="spellStart"/>
      <w:r w:rsidRPr="002B514B">
        <w:rPr>
          <w:color w:val="000000" w:themeColor="text1"/>
        </w:rPr>
        <w:t>Poeschl</w:t>
      </w:r>
      <w:proofErr w:type="spellEnd"/>
      <w:r w:rsidRPr="002B514B">
        <w:rPr>
          <w:color w:val="000000" w:themeColor="text1"/>
        </w:rPr>
        <w:t xml:space="preserve">, </w:t>
      </w:r>
      <w:proofErr w:type="spellStart"/>
      <w:r w:rsidRPr="002B514B">
        <w:rPr>
          <w:color w:val="000000" w:themeColor="text1"/>
        </w:rPr>
        <w:t>IJCLab</w:t>
      </w:r>
      <w:proofErr w:type="spellEnd"/>
      <w:r w:rsidRPr="002B514B">
        <w:rPr>
          <w:color w:val="000000" w:themeColor="text1"/>
        </w:rPr>
        <w:t>, Orsay</w:t>
      </w:r>
      <w:r w:rsidR="005842D0">
        <w:rPr>
          <w:color w:val="000000" w:themeColor="text1"/>
        </w:rPr>
        <w:t>, France</w:t>
      </w:r>
    </w:p>
    <w:p w14:paraId="72A4DA79" w14:textId="217A3F8F" w:rsidR="002B514B" w:rsidRPr="002B514B" w:rsidRDefault="002B514B" w:rsidP="00F73A4B">
      <w:pPr>
        <w:pStyle w:val="NormalWeb"/>
        <w:numPr>
          <w:ilvl w:val="0"/>
          <w:numId w:val="54"/>
        </w:numPr>
        <w:spacing w:line="276" w:lineRule="auto"/>
        <w:rPr>
          <w:color w:val="000000" w:themeColor="text1"/>
        </w:rPr>
      </w:pPr>
      <w:r w:rsidRPr="002B514B">
        <w:rPr>
          <w:color w:val="000000" w:themeColor="text1"/>
        </w:rPr>
        <w:t>Burkhard Schmidt, CERN, Geneva</w:t>
      </w:r>
      <w:r w:rsidR="005842D0">
        <w:rPr>
          <w:color w:val="000000" w:themeColor="text1"/>
        </w:rPr>
        <w:t>, Switzerland</w:t>
      </w:r>
    </w:p>
    <w:p w14:paraId="2AA818A8" w14:textId="02C699C6"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 xml:space="preserve">Tommaso Tabarelli de </w:t>
      </w:r>
      <w:proofErr w:type="spellStart"/>
      <w:r w:rsidRPr="002B514B">
        <w:rPr>
          <w:color w:val="000000" w:themeColor="text1"/>
          <w:lang w:val="it-IT"/>
        </w:rPr>
        <w:t>Fatis</w:t>
      </w:r>
      <w:proofErr w:type="spellEnd"/>
      <w:r w:rsidRPr="002B514B">
        <w:rPr>
          <w:color w:val="000000" w:themeColor="text1"/>
          <w:lang w:val="it-IT"/>
        </w:rPr>
        <w:t xml:space="preserve">, </w:t>
      </w:r>
      <w:r w:rsidRPr="002B514B">
        <w:rPr>
          <w:color w:val="212121"/>
        </w:rPr>
        <w:t>University and INFN Milano-Bicocca, Milan</w:t>
      </w:r>
      <w:r w:rsidR="005842D0">
        <w:rPr>
          <w:color w:val="212121"/>
        </w:rPr>
        <w:t>, Italy</w:t>
      </w:r>
    </w:p>
    <w:p w14:paraId="2F388237" w14:textId="7CB71896"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 xml:space="preserve">Roberto </w:t>
      </w:r>
      <w:proofErr w:type="spellStart"/>
      <w:r w:rsidRPr="002B514B">
        <w:rPr>
          <w:color w:val="000000" w:themeColor="text1"/>
          <w:lang w:val="it-IT"/>
        </w:rPr>
        <w:t>Tenchini</w:t>
      </w:r>
      <w:proofErr w:type="spellEnd"/>
      <w:r w:rsidRPr="002B514B">
        <w:rPr>
          <w:color w:val="000000" w:themeColor="text1"/>
          <w:lang w:val="it-IT"/>
        </w:rPr>
        <w:t>, INFN, Pisa</w:t>
      </w:r>
      <w:r w:rsidR="005842D0">
        <w:rPr>
          <w:color w:val="000000" w:themeColor="text1"/>
          <w:lang w:val="it-IT"/>
        </w:rPr>
        <w:t xml:space="preserve">, </w:t>
      </w:r>
      <w:proofErr w:type="spellStart"/>
      <w:r w:rsidR="005842D0">
        <w:rPr>
          <w:color w:val="000000" w:themeColor="text1"/>
          <w:lang w:val="it-IT"/>
        </w:rPr>
        <w:t>Italy</w:t>
      </w:r>
      <w:proofErr w:type="spellEnd"/>
    </w:p>
    <w:p w14:paraId="5A1A8469" w14:textId="53B12F5B" w:rsidR="002B514B" w:rsidRPr="005842D0" w:rsidRDefault="002B514B" w:rsidP="00F73A4B">
      <w:pPr>
        <w:pStyle w:val="NormalWeb"/>
        <w:numPr>
          <w:ilvl w:val="0"/>
          <w:numId w:val="54"/>
        </w:numPr>
        <w:spacing w:line="276" w:lineRule="auto"/>
        <w:rPr>
          <w:color w:val="000000" w:themeColor="text1"/>
        </w:rPr>
      </w:pPr>
      <w:r w:rsidRPr="005842D0">
        <w:rPr>
          <w:color w:val="000000" w:themeColor="text1"/>
        </w:rPr>
        <w:t>Maxim Titov, CEA, Paris</w:t>
      </w:r>
      <w:r w:rsidR="005842D0" w:rsidRPr="005842D0">
        <w:rPr>
          <w:color w:val="000000" w:themeColor="text1"/>
        </w:rPr>
        <w:t>, France</w:t>
      </w:r>
    </w:p>
    <w:p w14:paraId="41F2C4D4" w14:textId="25E67D84" w:rsidR="002B514B" w:rsidRPr="002B514B" w:rsidRDefault="002B514B" w:rsidP="00F73A4B">
      <w:pPr>
        <w:pStyle w:val="NormalWeb"/>
        <w:numPr>
          <w:ilvl w:val="0"/>
          <w:numId w:val="54"/>
        </w:numPr>
        <w:spacing w:line="276" w:lineRule="auto"/>
        <w:rPr>
          <w:color w:val="000000" w:themeColor="text1"/>
          <w:lang w:val="it-IT"/>
        </w:rPr>
      </w:pPr>
      <w:r w:rsidRPr="002B514B">
        <w:rPr>
          <w:color w:val="000000" w:themeColor="text1"/>
          <w:lang w:val="it-IT"/>
        </w:rPr>
        <w:t>Ivan Vila Alvarez, University of Cantabria, Santander</w:t>
      </w:r>
      <w:r w:rsidR="005842D0">
        <w:rPr>
          <w:color w:val="000000" w:themeColor="text1"/>
          <w:lang w:val="it-IT"/>
        </w:rPr>
        <w:t xml:space="preserve">, </w:t>
      </w:r>
      <w:proofErr w:type="spellStart"/>
      <w:r w:rsidR="005842D0">
        <w:rPr>
          <w:color w:val="000000" w:themeColor="text1"/>
          <w:lang w:val="it-IT"/>
        </w:rPr>
        <w:t>Spain</w:t>
      </w:r>
      <w:proofErr w:type="spellEnd"/>
    </w:p>
    <w:p w14:paraId="0325D20E" w14:textId="7A6BB182" w:rsidR="002B514B" w:rsidRPr="005842D0" w:rsidRDefault="002B514B" w:rsidP="00F73A4B">
      <w:pPr>
        <w:pStyle w:val="NormalWeb"/>
        <w:numPr>
          <w:ilvl w:val="0"/>
          <w:numId w:val="54"/>
        </w:numPr>
        <w:spacing w:line="276" w:lineRule="auto"/>
        <w:rPr>
          <w:color w:val="000000" w:themeColor="text1"/>
        </w:rPr>
      </w:pPr>
      <w:r w:rsidRPr="005842D0">
        <w:rPr>
          <w:color w:val="000000" w:themeColor="text1"/>
        </w:rPr>
        <w:t>Akira Yamamoto, KEK, Tsukuba</w:t>
      </w:r>
      <w:r w:rsidR="005842D0" w:rsidRPr="005842D0">
        <w:rPr>
          <w:color w:val="000000" w:themeColor="text1"/>
        </w:rPr>
        <w:t>, Japan</w:t>
      </w:r>
    </w:p>
    <w:p w14:paraId="5BB91481" w14:textId="67E2A867" w:rsidR="002B514B" w:rsidRPr="005842D0" w:rsidRDefault="002B514B" w:rsidP="00F73A4B">
      <w:pPr>
        <w:pStyle w:val="NormalWeb"/>
        <w:numPr>
          <w:ilvl w:val="0"/>
          <w:numId w:val="54"/>
        </w:numPr>
        <w:spacing w:line="276" w:lineRule="auto"/>
        <w:rPr>
          <w:color w:val="000000" w:themeColor="text1"/>
        </w:rPr>
      </w:pPr>
      <w:r w:rsidRPr="005842D0">
        <w:rPr>
          <w:color w:val="000000" w:themeColor="text1"/>
        </w:rPr>
        <w:t>Hitoshi Yamamoto, Tohoku University, Sendai</w:t>
      </w:r>
      <w:r w:rsidR="005842D0" w:rsidRPr="005842D0">
        <w:rPr>
          <w:color w:val="000000" w:themeColor="text1"/>
        </w:rPr>
        <w:t>, Japan</w:t>
      </w:r>
    </w:p>
    <w:p w14:paraId="104253C3" w14:textId="77777777" w:rsidR="00556DE5" w:rsidRPr="004063BF" w:rsidRDefault="00000000">
      <w:pPr>
        <w:pStyle w:val="Heading1"/>
        <w:jc w:val="both"/>
        <w:rPr>
          <w:lang w:val="en-GB"/>
        </w:rPr>
      </w:pPr>
      <w:bookmarkStart w:id="21" w:name="_3phnsuxfygxm" w:colFirst="0" w:colLast="0"/>
      <w:bookmarkEnd w:id="21"/>
      <w:r w:rsidRPr="004063BF">
        <w:rPr>
          <w:lang w:val="en-GB"/>
        </w:rPr>
        <w:t>APPENDIX II</w:t>
      </w:r>
    </w:p>
    <w:p w14:paraId="5B941D34" w14:textId="77777777" w:rsidR="00556DE5" w:rsidRPr="005F056C" w:rsidRDefault="00000000">
      <w:pPr>
        <w:pStyle w:val="Heading2"/>
        <w:spacing w:before="240"/>
        <w:jc w:val="both"/>
        <w:rPr>
          <w:rFonts w:ascii="Times New Roman" w:hAnsi="Times New Roman" w:cs="Times New Roman"/>
          <w:sz w:val="24"/>
          <w:szCs w:val="24"/>
        </w:rPr>
      </w:pPr>
      <w:bookmarkStart w:id="22" w:name="_kt3kv585b480" w:colFirst="0" w:colLast="0"/>
      <w:bookmarkEnd w:id="22"/>
      <w:r w:rsidRPr="005F056C">
        <w:rPr>
          <w:rFonts w:ascii="Times New Roman" w:hAnsi="Times New Roman" w:cs="Times New Roman"/>
          <w:sz w:val="24"/>
          <w:szCs w:val="24"/>
        </w:rPr>
        <w:t>CEPC International Detector Review Committee Charge</w:t>
      </w:r>
    </w:p>
    <w:p w14:paraId="5C314B06" w14:textId="77777777" w:rsidR="00556DE5" w:rsidRPr="005F056C" w:rsidRDefault="00000000" w:rsidP="00F73A4B">
      <w:pPr>
        <w:numPr>
          <w:ilvl w:val="0"/>
          <w:numId w:val="5"/>
        </w:numPr>
        <w:spacing w:line="276" w:lineRule="auto"/>
        <w:jc w:val="both"/>
        <w:rPr>
          <w:color w:val="191919"/>
        </w:rPr>
      </w:pPr>
      <w:r w:rsidRPr="005F056C">
        <w:rPr>
          <w:color w:val="191919"/>
        </w:rPr>
        <w:t>Review the overall status of the research and development (R&amp;D) efforts for the CEPC detectors, which will be highlighted in the presentations.</w:t>
      </w:r>
    </w:p>
    <w:p w14:paraId="6A181E09" w14:textId="77777777" w:rsidR="00556DE5" w:rsidRPr="005F056C" w:rsidRDefault="00000000" w:rsidP="00F73A4B">
      <w:pPr>
        <w:numPr>
          <w:ilvl w:val="0"/>
          <w:numId w:val="5"/>
        </w:numPr>
        <w:spacing w:line="276" w:lineRule="auto"/>
        <w:jc w:val="both"/>
        <w:rPr>
          <w:color w:val="191919"/>
        </w:rPr>
      </w:pPr>
      <w:r w:rsidRPr="005F056C">
        <w:rPr>
          <w:color w:val="191919"/>
        </w:rPr>
        <w:t>Assess the detector design objectives, ensuring they are clearly defined and aligned with the CEPC project's overall goals.</w:t>
      </w:r>
    </w:p>
    <w:p w14:paraId="3A453EF3" w14:textId="77777777" w:rsidR="00556DE5" w:rsidRPr="005F056C" w:rsidRDefault="00000000" w:rsidP="00F73A4B">
      <w:pPr>
        <w:numPr>
          <w:ilvl w:val="0"/>
          <w:numId w:val="5"/>
        </w:numPr>
        <w:spacing w:line="276" w:lineRule="auto"/>
        <w:jc w:val="both"/>
        <w:rPr>
          <w:color w:val="191919"/>
        </w:rPr>
      </w:pPr>
      <w:r w:rsidRPr="005F056C">
        <w:rPr>
          <w:color w:val="191919"/>
        </w:rPr>
        <w:t>Review the detector design and key technologies, examining their effectiveness in achieving the specified performance goals.</w:t>
      </w:r>
    </w:p>
    <w:p w14:paraId="0D8CB78A" w14:textId="77777777" w:rsidR="00556DE5" w:rsidRPr="005F056C" w:rsidRDefault="00000000" w:rsidP="00F73A4B">
      <w:pPr>
        <w:numPr>
          <w:ilvl w:val="0"/>
          <w:numId w:val="5"/>
        </w:numPr>
        <w:spacing w:line="276" w:lineRule="auto"/>
        <w:jc w:val="both"/>
        <w:rPr>
          <w:color w:val="191919"/>
        </w:rPr>
      </w:pPr>
      <w:r w:rsidRPr="005F056C">
        <w:rPr>
          <w:color w:val="191919"/>
        </w:rPr>
        <w:t>Scrutinize the feasibility and readiness of critical technologies and components for the detector system, considering the proposed Reference Detector and alternative technologies, and ensure that they will be available or achievable by 2028 through ongoing R&amp;D programs</w:t>
      </w:r>
    </w:p>
    <w:p w14:paraId="6A69D2A4" w14:textId="77777777" w:rsidR="00556DE5" w:rsidRPr="005F056C" w:rsidRDefault="00000000" w:rsidP="00F73A4B">
      <w:pPr>
        <w:numPr>
          <w:ilvl w:val="0"/>
          <w:numId w:val="5"/>
        </w:numPr>
        <w:spacing w:line="276" w:lineRule="auto"/>
        <w:jc w:val="both"/>
        <w:rPr>
          <w:color w:val="191919"/>
        </w:rPr>
      </w:pPr>
      <w:r w:rsidRPr="005F056C">
        <w:rPr>
          <w:color w:val="191919"/>
        </w:rPr>
        <w:lastRenderedPageBreak/>
        <w:t>Identify and assess the primary technical risks associated with the detector design and propose mitigation strategies.</w:t>
      </w:r>
    </w:p>
    <w:p w14:paraId="78C2CF8A" w14:textId="77777777" w:rsidR="00556DE5" w:rsidRPr="005F056C" w:rsidRDefault="00000000" w:rsidP="00F73A4B">
      <w:pPr>
        <w:numPr>
          <w:ilvl w:val="0"/>
          <w:numId w:val="5"/>
        </w:numPr>
        <w:spacing w:line="276" w:lineRule="auto"/>
        <w:jc w:val="both"/>
        <w:rPr>
          <w:color w:val="191919"/>
        </w:rPr>
      </w:pPr>
      <w:r w:rsidRPr="005F056C">
        <w:rPr>
          <w:color w:val="191919"/>
        </w:rPr>
        <w:t>Determine the project's readiness for construction upon completion of the outlined R&amp;D and engineering preparations, ensuring any issues identified are addressed in a timely manner.</w:t>
      </w:r>
    </w:p>
    <w:p w14:paraId="64A0EBE6" w14:textId="77777777" w:rsidR="00556DE5" w:rsidRPr="005F056C" w:rsidRDefault="00000000" w:rsidP="00F73A4B">
      <w:pPr>
        <w:numPr>
          <w:ilvl w:val="0"/>
          <w:numId w:val="5"/>
        </w:numPr>
        <w:spacing w:line="276" w:lineRule="auto"/>
        <w:jc w:val="both"/>
        <w:rPr>
          <w:color w:val="191919"/>
        </w:rPr>
      </w:pPr>
      <w:r w:rsidRPr="005F056C">
        <w:rPr>
          <w:color w:val="191919"/>
        </w:rPr>
        <w:t>Provide optional advisory comments on the overall cost evaluation of the detector</w:t>
      </w:r>
    </w:p>
    <w:p w14:paraId="0C86BFAF" w14:textId="77777777" w:rsidR="00556DE5" w:rsidRPr="005F056C" w:rsidRDefault="00000000" w:rsidP="00F73A4B">
      <w:pPr>
        <w:numPr>
          <w:ilvl w:val="0"/>
          <w:numId w:val="5"/>
        </w:numPr>
        <w:spacing w:line="276" w:lineRule="auto"/>
        <w:jc w:val="both"/>
        <w:rPr>
          <w:color w:val="191919"/>
        </w:rPr>
      </w:pPr>
      <w:r w:rsidRPr="005F056C">
        <w:rPr>
          <w:color w:val="191919"/>
        </w:rPr>
        <w:t>Provide any additional observations or suggestions for improvements across the project's spectrum.</w:t>
      </w:r>
    </w:p>
    <w:p w14:paraId="287449FC" w14:textId="77777777" w:rsidR="00556DE5" w:rsidRPr="005F056C" w:rsidRDefault="00000000" w:rsidP="00F73A4B">
      <w:pPr>
        <w:numPr>
          <w:ilvl w:val="0"/>
          <w:numId w:val="5"/>
        </w:numPr>
        <w:spacing w:line="276" w:lineRule="auto"/>
        <w:jc w:val="both"/>
        <w:rPr>
          <w:color w:val="191919"/>
        </w:rPr>
      </w:pPr>
      <w:r w:rsidRPr="005F056C">
        <w:rPr>
          <w:color w:val="191919"/>
        </w:rPr>
        <w:t>Prepare for subsequent review by establishing the framework for ongoing evaluation and feedback processes, if necessary and as needed.</w:t>
      </w:r>
    </w:p>
    <w:p w14:paraId="1046FEE0" w14:textId="77777777" w:rsidR="00556DE5" w:rsidRDefault="00000000" w:rsidP="00F73A4B">
      <w:pPr>
        <w:pStyle w:val="Heading1"/>
        <w:jc w:val="both"/>
      </w:pPr>
      <w:bookmarkStart w:id="23" w:name="_2tke81sax8of" w:colFirst="0" w:colLast="0"/>
      <w:bookmarkEnd w:id="23"/>
      <w:r>
        <w:t>APPENDIX III</w:t>
      </w:r>
    </w:p>
    <w:p w14:paraId="0A8E936F" w14:textId="7E9A2CF7" w:rsidR="00556DE5" w:rsidRDefault="00000000" w:rsidP="00F73A4B">
      <w:pPr>
        <w:pStyle w:val="Heading2"/>
      </w:pPr>
      <w:bookmarkStart w:id="24" w:name="_oxry5y4dnotc" w:colFirst="0" w:colLast="0"/>
      <w:bookmarkEnd w:id="24"/>
      <w:r>
        <w:t>Focus topics</w:t>
      </w:r>
    </w:p>
    <w:p w14:paraId="1ABABF6D" w14:textId="4F2695EA"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MDI – </w:t>
      </w:r>
      <w:r w:rsidRPr="002B514B">
        <w:rPr>
          <w:rFonts w:ascii="Times New Roman" w:hAnsi="Times New Roman" w:cs="Times New Roman"/>
          <w:b/>
          <w:color w:val="212121"/>
          <w:sz w:val="24"/>
          <w:szCs w:val="24"/>
        </w:rPr>
        <w:t>H. Yamamoto</w:t>
      </w:r>
      <w:r w:rsidRPr="002B514B">
        <w:rPr>
          <w:rFonts w:ascii="Times New Roman" w:hAnsi="Times New Roman" w:cs="Times New Roman"/>
          <w:color w:val="212121"/>
          <w:sz w:val="24"/>
          <w:szCs w:val="24"/>
        </w:rPr>
        <w:t>, Kramberger, Titov</w:t>
      </w:r>
    </w:p>
    <w:p w14:paraId="094E719F" w14:textId="69AC5D69"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Vertex Detector – </w:t>
      </w:r>
      <w:r w:rsidRPr="002B514B">
        <w:rPr>
          <w:rFonts w:ascii="Times New Roman" w:hAnsi="Times New Roman" w:cs="Times New Roman"/>
          <w:b/>
          <w:color w:val="212121"/>
          <w:sz w:val="24"/>
          <w:szCs w:val="24"/>
        </w:rPr>
        <w:t>Kramberger</w:t>
      </w:r>
      <w:r w:rsidRPr="002B514B">
        <w:rPr>
          <w:rFonts w:ascii="Times New Roman" w:hAnsi="Times New Roman" w:cs="Times New Roman"/>
          <w:color w:val="212121"/>
          <w:sz w:val="24"/>
          <w:szCs w:val="24"/>
        </w:rPr>
        <w:t>, Vila, H. Yamamoto</w:t>
      </w:r>
    </w:p>
    <w:p w14:paraId="7D55D72B" w14:textId="77777777" w:rsidR="002B514B"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Silicon tracker –</w:t>
      </w:r>
      <w:r w:rsidRPr="002B514B">
        <w:rPr>
          <w:rFonts w:ascii="Times New Roman" w:hAnsi="Times New Roman" w:cs="Times New Roman"/>
          <w:b/>
          <w:color w:val="212121"/>
          <w:sz w:val="24"/>
          <w:szCs w:val="24"/>
        </w:rPr>
        <w:t xml:space="preserve"> Vila</w:t>
      </w:r>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Kranberger</w:t>
      </w:r>
      <w:proofErr w:type="spellEnd"/>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Kowalewski</w:t>
      </w:r>
      <w:proofErr w:type="spellEnd"/>
    </w:p>
    <w:p w14:paraId="65C7ADE5" w14:textId="072320C2" w:rsidR="002B514B"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Gaseous Detector – </w:t>
      </w:r>
      <w:r w:rsidRPr="002B514B">
        <w:rPr>
          <w:rFonts w:ascii="Times New Roman" w:hAnsi="Times New Roman" w:cs="Times New Roman"/>
          <w:b/>
          <w:color w:val="212121"/>
          <w:sz w:val="24"/>
          <w:szCs w:val="24"/>
        </w:rPr>
        <w:t xml:space="preserve">Colas, </w:t>
      </w:r>
      <w:proofErr w:type="spellStart"/>
      <w:r w:rsidRPr="002B514B">
        <w:rPr>
          <w:rFonts w:ascii="Times New Roman" w:hAnsi="Times New Roman" w:cs="Times New Roman"/>
          <w:color w:val="212121"/>
          <w:sz w:val="24"/>
          <w:szCs w:val="24"/>
        </w:rPr>
        <w:t>Titov</w:t>
      </w:r>
      <w:proofErr w:type="spellEnd"/>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Colaleo</w:t>
      </w:r>
      <w:proofErr w:type="spellEnd"/>
    </w:p>
    <w:p w14:paraId="60850BB8" w14:textId="16522241" w:rsidR="002B514B"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Electromagnetic Calorimetry – </w:t>
      </w:r>
      <w:proofErr w:type="spellStart"/>
      <w:r w:rsidRPr="002B514B">
        <w:rPr>
          <w:rFonts w:ascii="Times New Roman" w:hAnsi="Times New Roman" w:cs="Times New Roman"/>
          <w:b/>
          <w:color w:val="212121"/>
          <w:sz w:val="24"/>
          <w:szCs w:val="24"/>
        </w:rPr>
        <w:t>Tabarelli</w:t>
      </w:r>
      <w:proofErr w:type="spellEnd"/>
      <w:r w:rsidRPr="002B514B">
        <w:rPr>
          <w:rFonts w:ascii="Times New Roman" w:hAnsi="Times New Roman" w:cs="Times New Roman"/>
          <w:b/>
          <w:color w:val="212121"/>
          <w:sz w:val="24"/>
          <w:szCs w:val="24"/>
        </w:rPr>
        <w:t xml:space="preserve"> de </w:t>
      </w:r>
      <w:proofErr w:type="spellStart"/>
      <w:r w:rsidRPr="002B514B">
        <w:rPr>
          <w:rFonts w:ascii="Times New Roman" w:hAnsi="Times New Roman" w:cs="Times New Roman"/>
          <w:b/>
          <w:color w:val="212121"/>
          <w:sz w:val="24"/>
          <w:szCs w:val="24"/>
        </w:rPr>
        <w:t>Fatis</w:t>
      </w:r>
      <w:proofErr w:type="spellEnd"/>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Poeschl</w:t>
      </w:r>
      <w:proofErr w:type="spellEnd"/>
      <w:r w:rsidRPr="002B514B">
        <w:rPr>
          <w:rFonts w:ascii="Times New Roman" w:hAnsi="Times New Roman" w:cs="Times New Roman"/>
          <w:color w:val="212121"/>
          <w:sz w:val="24"/>
          <w:szCs w:val="24"/>
        </w:rPr>
        <w:t>, Brau</w:t>
      </w:r>
    </w:p>
    <w:p w14:paraId="5D41B465" w14:textId="70DDE29D" w:rsidR="002B514B" w:rsidRPr="002B514B" w:rsidRDefault="00000000" w:rsidP="00F73A4B">
      <w:pPr>
        <w:pStyle w:val="ListParagraph"/>
        <w:numPr>
          <w:ilvl w:val="0"/>
          <w:numId w:val="55"/>
        </w:numPr>
        <w:jc w:val="both"/>
        <w:rPr>
          <w:rFonts w:ascii="Times New Roman" w:hAnsi="Times New Roman" w:cs="Times New Roman"/>
          <w:color w:val="212121"/>
          <w:sz w:val="24"/>
          <w:szCs w:val="24"/>
          <w:lang w:val="it-IT"/>
        </w:rPr>
      </w:pPr>
      <w:proofErr w:type="spellStart"/>
      <w:r w:rsidRPr="002B514B">
        <w:rPr>
          <w:rFonts w:ascii="Times New Roman" w:hAnsi="Times New Roman" w:cs="Times New Roman"/>
          <w:color w:val="212121"/>
          <w:sz w:val="24"/>
          <w:szCs w:val="24"/>
          <w:lang w:val="it-IT"/>
        </w:rPr>
        <w:t>Hadron</w:t>
      </w:r>
      <w:proofErr w:type="spellEnd"/>
      <w:r w:rsidRPr="002B514B">
        <w:rPr>
          <w:rFonts w:ascii="Times New Roman" w:hAnsi="Times New Roman" w:cs="Times New Roman"/>
          <w:color w:val="212121"/>
          <w:sz w:val="24"/>
          <w:szCs w:val="24"/>
          <w:lang w:val="it-IT"/>
        </w:rPr>
        <w:t xml:space="preserve"> </w:t>
      </w:r>
      <w:proofErr w:type="spellStart"/>
      <w:r w:rsidRPr="002B514B">
        <w:rPr>
          <w:rFonts w:ascii="Times New Roman" w:hAnsi="Times New Roman" w:cs="Times New Roman"/>
          <w:color w:val="212121"/>
          <w:sz w:val="24"/>
          <w:szCs w:val="24"/>
          <w:lang w:val="it-IT"/>
        </w:rPr>
        <w:t>Calorimeter</w:t>
      </w:r>
      <w:proofErr w:type="spellEnd"/>
      <w:r w:rsidRPr="002B514B">
        <w:rPr>
          <w:rFonts w:ascii="Times New Roman" w:hAnsi="Times New Roman" w:cs="Times New Roman"/>
          <w:color w:val="212121"/>
          <w:sz w:val="24"/>
          <w:szCs w:val="24"/>
          <w:lang w:val="it-IT"/>
        </w:rPr>
        <w:t xml:space="preserve"> – </w:t>
      </w:r>
      <w:proofErr w:type="spellStart"/>
      <w:r w:rsidRPr="002B514B">
        <w:rPr>
          <w:rFonts w:ascii="Times New Roman" w:hAnsi="Times New Roman" w:cs="Times New Roman"/>
          <w:b/>
          <w:color w:val="212121"/>
          <w:sz w:val="24"/>
          <w:szCs w:val="24"/>
          <w:lang w:val="it-IT"/>
        </w:rPr>
        <w:t>Poeschl</w:t>
      </w:r>
      <w:proofErr w:type="spellEnd"/>
      <w:r w:rsidRPr="002B514B">
        <w:rPr>
          <w:rFonts w:ascii="Times New Roman" w:hAnsi="Times New Roman" w:cs="Times New Roman"/>
          <w:color w:val="212121"/>
          <w:sz w:val="24"/>
          <w:szCs w:val="24"/>
          <w:lang w:val="it-IT"/>
        </w:rPr>
        <w:t xml:space="preserve">, Tabarelli de </w:t>
      </w:r>
      <w:proofErr w:type="spellStart"/>
      <w:r w:rsidRPr="002B514B">
        <w:rPr>
          <w:rFonts w:ascii="Times New Roman" w:hAnsi="Times New Roman" w:cs="Times New Roman"/>
          <w:color w:val="212121"/>
          <w:sz w:val="24"/>
          <w:szCs w:val="24"/>
          <w:lang w:val="it-IT"/>
        </w:rPr>
        <w:t>Fatis</w:t>
      </w:r>
      <w:proofErr w:type="spellEnd"/>
      <w:r w:rsidRPr="002B514B">
        <w:rPr>
          <w:rFonts w:ascii="Times New Roman" w:hAnsi="Times New Roman" w:cs="Times New Roman"/>
          <w:color w:val="212121"/>
          <w:sz w:val="24"/>
          <w:szCs w:val="24"/>
          <w:lang w:val="it-IT"/>
        </w:rPr>
        <w:t>, Brau</w:t>
      </w:r>
    </w:p>
    <w:p w14:paraId="08714123" w14:textId="6EECECBD" w:rsidR="002B514B" w:rsidRPr="002B514B" w:rsidRDefault="00000000" w:rsidP="00F73A4B">
      <w:pPr>
        <w:pStyle w:val="ListParagraph"/>
        <w:numPr>
          <w:ilvl w:val="0"/>
          <w:numId w:val="55"/>
        </w:numPr>
        <w:jc w:val="both"/>
        <w:rPr>
          <w:rFonts w:ascii="Times New Roman" w:hAnsi="Times New Roman" w:cs="Times New Roman"/>
          <w:color w:val="212121"/>
          <w:sz w:val="24"/>
          <w:szCs w:val="24"/>
          <w:lang w:val="en-GB"/>
        </w:rPr>
      </w:pPr>
      <w:r w:rsidRPr="002B514B">
        <w:rPr>
          <w:rFonts w:ascii="Times New Roman" w:hAnsi="Times New Roman" w:cs="Times New Roman"/>
          <w:color w:val="212121"/>
          <w:sz w:val="24"/>
          <w:szCs w:val="24"/>
        </w:rPr>
        <w:t xml:space="preserve">Muon detector – </w:t>
      </w:r>
      <w:proofErr w:type="spellStart"/>
      <w:r w:rsidRPr="002B514B">
        <w:rPr>
          <w:rFonts w:ascii="Times New Roman" w:hAnsi="Times New Roman" w:cs="Times New Roman"/>
          <w:b/>
          <w:color w:val="212121"/>
          <w:sz w:val="24"/>
          <w:szCs w:val="24"/>
        </w:rPr>
        <w:t>Colaleo</w:t>
      </w:r>
      <w:proofErr w:type="spellEnd"/>
      <w:r w:rsidRPr="002B514B">
        <w:rPr>
          <w:rFonts w:ascii="Times New Roman" w:hAnsi="Times New Roman" w:cs="Times New Roman"/>
          <w:color w:val="212121"/>
          <w:sz w:val="24"/>
          <w:szCs w:val="24"/>
        </w:rPr>
        <w:t>, Colas, Han</w:t>
      </w:r>
    </w:p>
    <w:p w14:paraId="2A299188" w14:textId="73EDE4D9" w:rsidR="00556DE5" w:rsidRPr="002B514B" w:rsidRDefault="00000000" w:rsidP="00F73A4B">
      <w:pPr>
        <w:pStyle w:val="ListParagraph"/>
        <w:numPr>
          <w:ilvl w:val="0"/>
          <w:numId w:val="55"/>
        </w:numPr>
        <w:jc w:val="both"/>
        <w:rPr>
          <w:rFonts w:ascii="Times New Roman" w:hAnsi="Times New Roman" w:cs="Times New Roman"/>
          <w:color w:val="212121"/>
          <w:sz w:val="24"/>
          <w:szCs w:val="24"/>
          <w:lang w:val="en-GB"/>
        </w:rPr>
      </w:pPr>
      <w:r w:rsidRPr="002B514B">
        <w:rPr>
          <w:rFonts w:ascii="Times New Roman" w:hAnsi="Times New Roman" w:cs="Times New Roman"/>
          <w:color w:val="212121"/>
          <w:sz w:val="24"/>
          <w:szCs w:val="24"/>
        </w:rPr>
        <w:t>Superconducting Solenoid –</w:t>
      </w:r>
      <w:r w:rsidRPr="002B514B">
        <w:rPr>
          <w:rFonts w:ascii="Times New Roman" w:hAnsi="Times New Roman" w:cs="Times New Roman"/>
          <w:b/>
          <w:color w:val="212121"/>
          <w:sz w:val="24"/>
          <w:szCs w:val="24"/>
        </w:rPr>
        <w:t xml:space="preserve"> A. Yamamoto</w:t>
      </w:r>
      <w:r w:rsidRPr="002B514B">
        <w:rPr>
          <w:rFonts w:ascii="Times New Roman" w:hAnsi="Times New Roman" w:cs="Times New Roman"/>
          <w:color w:val="212121"/>
          <w:sz w:val="24"/>
          <w:szCs w:val="24"/>
        </w:rPr>
        <w:t>, H. Yamamoto, Brau</w:t>
      </w:r>
    </w:p>
    <w:p w14:paraId="17C0E447" w14:textId="4F23BC8F"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Readout Electronics – </w:t>
      </w:r>
      <w:r w:rsidRPr="002B514B">
        <w:rPr>
          <w:rFonts w:ascii="Times New Roman" w:hAnsi="Times New Roman" w:cs="Times New Roman"/>
          <w:b/>
          <w:color w:val="212121"/>
          <w:sz w:val="24"/>
          <w:szCs w:val="24"/>
        </w:rPr>
        <w:t>De la Taill</w:t>
      </w:r>
      <w:r w:rsidRPr="002B514B">
        <w:rPr>
          <w:rFonts w:ascii="Times New Roman" w:hAnsi="Times New Roman" w:cs="Times New Roman"/>
          <w:color w:val="212121"/>
          <w:sz w:val="24"/>
          <w:szCs w:val="24"/>
        </w:rPr>
        <w:t>e, Gay, Titov</w:t>
      </w:r>
    </w:p>
    <w:p w14:paraId="5E023169" w14:textId="2905AB78"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Trigger and DAQ – </w:t>
      </w:r>
      <w:r w:rsidRPr="002B514B">
        <w:rPr>
          <w:rFonts w:ascii="Times New Roman" w:hAnsi="Times New Roman" w:cs="Times New Roman"/>
          <w:b/>
          <w:color w:val="212121"/>
          <w:sz w:val="24"/>
          <w:szCs w:val="24"/>
        </w:rPr>
        <w:t>Gay,</w:t>
      </w:r>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Tenchini</w:t>
      </w:r>
      <w:proofErr w:type="spellEnd"/>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Kowalewski</w:t>
      </w:r>
      <w:proofErr w:type="spellEnd"/>
    </w:p>
    <w:p w14:paraId="1B3DAA6F" w14:textId="05B905E6" w:rsidR="002B514B"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Offline Software and computing – </w:t>
      </w:r>
      <w:r w:rsidRPr="002B514B">
        <w:rPr>
          <w:rFonts w:ascii="Times New Roman" w:hAnsi="Times New Roman" w:cs="Times New Roman"/>
          <w:b/>
          <w:color w:val="212121"/>
          <w:sz w:val="24"/>
          <w:szCs w:val="24"/>
        </w:rPr>
        <w:t>Gaede</w:t>
      </w:r>
      <w:r w:rsidRPr="002B514B">
        <w:rPr>
          <w:rFonts w:ascii="Times New Roman" w:hAnsi="Times New Roman" w:cs="Times New Roman"/>
          <w:color w:val="212121"/>
          <w:sz w:val="24"/>
          <w:szCs w:val="24"/>
        </w:rPr>
        <w:t>, Diaconu, Kowalewski</w:t>
      </w:r>
    </w:p>
    <w:p w14:paraId="7477025D" w14:textId="26240E9D" w:rsidR="002B514B"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Mechanics and integration – </w:t>
      </w:r>
      <w:r w:rsidRPr="002B514B">
        <w:rPr>
          <w:rFonts w:ascii="Times New Roman" w:hAnsi="Times New Roman" w:cs="Times New Roman"/>
          <w:b/>
          <w:color w:val="212121"/>
          <w:sz w:val="24"/>
          <w:szCs w:val="24"/>
        </w:rPr>
        <w:t>Schmidt</w:t>
      </w:r>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Kramberger</w:t>
      </w:r>
      <w:proofErr w:type="spellEnd"/>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Tabarelli</w:t>
      </w:r>
      <w:proofErr w:type="spellEnd"/>
      <w:r w:rsidRPr="002B514B">
        <w:rPr>
          <w:rFonts w:ascii="Times New Roman" w:hAnsi="Times New Roman" w:cs="Times New Roman"/>
          <w:color w:val="212121"/>
          <w:sz w:val="24"/>
          <w:szCs w:val="24"/>
        </w:rPr>
        <w:t xml:space="preserve"> de </w:t>
      </w:r>
      <w:proofErr w:type="spellStart"/>
      <w:r w:rsidRPr="002B514B">
        <w:rPr>
          <w:rFonts w:ascii="Times New Roman" w:hAnsi="Times New Roman" w:cs="Times New Roman"/>
          <w:color w:val="212121"/>
          <w:sz w:val="24"/>
          <w:szCs w:val="24"/>
        </w:rPr>
        <w:t>Fatis</w:t>
      </w:r>
      <w:proofErr w:type="spellEnd"/>
    </w:p>
    <w:p w14:paraId="5256AC93" w14:textId="598FD530"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Detector and physics Performance – </w:t>
      </w:r>
      <w:r w:rsidRPr="002B514B">
        <w:rPr>
          <w:rFonts w:ascii="Times New Roman" w:hAnsi="Times New Roman" w:cs="Times New Roman"/>
          <w:b/>
          <w:color w:val="212121"/>
          <w:sz w:val="24"/>
          <w:szCs w:val="24"/>
        </w:rPr>
        <w:t>Diaconu</w:t>
      </w:r>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Tenchini</w:t>
      </w:r>
      <w:proofErr w:type="spellEnd"/>
      <w:r w:rsidRPr="002B514B">
        <w:rPr>
          <w:rFonts w:ascii="Times New Roman" w:hAnsi="Times New Roman" w:cs="Times New Roman"/>
          <w:color w:val="212121"/>
          <w:sz w:val="24"/>
          <w:szCs w:val="24"/>
        </w:rPr>
        <w:t>, Gay, Han</w:t>
      </w:r>
    </w:p>
    <w:p w14:paraId="62276149" w14:textId="14A2928A" w:rsidR="00556DE5" w:rsidRPr="002B514B" w:rsidRDefault="00000000" w:rsidP="00F73A4B">
      <w:pPr>
        <w:pStyle w:val="ListParagraph"/>
        <w:numPr>
          <w:ilvl w:val="0"/>
          <w:numId w:val="55"/>
        </w:numPr>
        <w:jc w:val="both"/>
        <w:rPr>
          <w:rFonts w:ascii="Times New Roman" w:hAnsi="Times New Roman" w:cs="Times New Roman"/>
          <w:color w:val="212121"/>
          <w:sz w:val="24"/>
          <w:szCs w:val="24"/>
        </w:rPr>
      </w:pPr>
      <w:r w:rsidRPr="002B514B">
        <w:rPr>
          <w:rFonts w:ascii="Times New Roman" w:hAnsi="Times New Roman" w:cs="Times New Roman"/>
          <w:color w:val="212121"/>
          <w:sz w:val="24"/>
          <w:szCs w:val="24"/>
        </w:rPr>
        <w:t xml:space="preserve">Cost and timeline – </w:t>
      </w:r>
      <w:proofErr w:type="spellStart"/>
      <w:r w:rsidRPr="002B514B">
        <w:rPr>
          <w:rFonts w:ascii="Times New Roman" w:hAnsi="Times New Roman" w:cs="Times New Roman"/>
          <w:b/>
          <w:color w:val="212121"/>
          <w:sz w:val="24"/>
          <w:szCs w:val="24"/>
        </w:rPr>
        <w:t>Titov</w:t>
      </w:r>
      <w:proofErr w:type="spellEnd"/>
      <w:r w:rsidRPr="002B514B">
        <w:rPr>
          <w:rFonts w:ascii="Times New Roman" w:hAnsi="Times New Roman" w:cs="Times New Roman"/>
          <w:b/>
          <w:color w:val="212121"/>
          <w:sz w:val="24"/>
          <w:szCs w:val="24"/>
        </w:rPr>
        <w:t>,</w:t>
      </w:r>
      <w:r w:rsidRPr="002B514B">
        <w:rPr>
          <w:rFonts w:ascii="Times New Roman" w:hAnsi="Times New Roman" w:cs="Times New Roman"/>
          <w:color w:val="212121"/>
          <w:sz w:val="24"/>
          <w:szCs w:val="24"/>
        </w:rPr>
        <w:t xml:space="preserve"> </w:t>
      </w:r>
      <w:proofErr w:type="spellStart"/>
      <w:r w:rsidRPr="002B514B">
        <w:rPr>
          <w:rFonts w:ascii="Times New Roman" w:hAnsi="Times New Roman" w:cs="Times New Roman"/>
          <w:color w:val="212121"/>
          <w:sz w:val="24"/>
          <w:szCs w:val="24"/>
        </w:rPr>
        <w:t>Tenchini</w:t>
      </w:r>
      <w:proofErr w:type="spellEnd"/>
      <w:r w:rsidRPr="002B514B">
        <w:rPr>
          <w:rFonts w:ascii="Times New Roman" w:hAnsi="Times New Roman" w:cs="Times New Roman"/>
          <w:color w:val="212121"/>
          <w:sz w:val="24"/>
          <w:szCs w:val="24"/>
        </w:rPr>
        <w:t>, Schmidt, De la Taille</w:t>
      </w:r>
    </w:p>
    <w:p w14:paraId="1BCC1E37" w14:textId="586FEE9E" w:rsidR="00556DE5" w:rsidRPr="002B514B" w:rsidRDefault="00000000" w:rsidP="00F73A4B">
      <w:pPr>
        <w:pStyle w:val="ListParagraph"/>
        <w:numPr>
          <w:ilvl w:val="0"/>
          <w:numId w:val="55"/>
        </w:numPr>
        <w:jc w:val="both"/>
        <w:rPr>
          <w:color w:val="212121"/>
          <w:sz w:val="21"/>
          <w:szCs w:val="21"/>
        </w:rPr>
      </w:pPr>
      <w:r w:rsidRPr="002B514B">
        <w:rPr>
          <w:rFonts w:ascii="Times New Roman" w:hAnsi="Times New Roman" w:cs="Times New Roman"/>
          <w:color w:val="212121"/>
          <w:sz w:val="24"/>
          <w:szCs w:val="24"/>
        </w:rPr>
        <w:t xml:space="preserve">Chair – </w:t>
      </w:r>
      <w:r w:rsidRPr="005842D0">
        <w:rPr>
          <w:rFonts w:ascii="Times New Roman" w:hAnsi="Times New Roman" w:cs="Times New Roman"/>
          <w:b/>
          <w:bCs/>
          <w:color w:val="212121"/>
          <w:sz w:val="24"/>
          <w:szCs w:val="24"/>
        </w:rPr>
        <w:t>Bortoletto</w:t>
      </w:r>
    </w:p>
    <w:p w14:paraId="15A8CE3F" w14:textId="77777777" w:rsidR="00556DE5" w:rsidRDefault="00556DE5" w:rsidP="00F73A4B">
      <w:pPr>
        <w:spacing w:line="276" w:lineRule="auto"/>
        <w:jc w:val="both"/>
      </w:pPr>
    </w:p>
    <w:sectPr w:rsidR="00556DE5">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B24FE" w14:textId="77777777" w:rsidR="0031115D" w:rsidRDefault="0031115D">
      <w:r>
        <w:separator/>
      </w:r>
    </w:p>
  </w:endnote>
  <w:endnote w:type="continuationSeparator" w:id="0">
    <w:p w14:paraId="00DC49E0" w14:textId="77777777" w:rsidR="0031115D" w:rsidRDefault="003111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4C0758B9-9C7C-174F-9EC0-D951D78D0CDD}"/>
    <w:embedBold r:id="rId2" w:fontKey="{D96C5DB1-BED0-574C-AAF5-181CC0BD474D}"/>
    <w:embedItalic r:id="rId3" w:fontKey="{06BBE1C9-38CE-4848-B3C5-50E19CD98B1D}"/>
  </w:font>
  <w:font w:name="Symbol">
    <w:panose1 w:val="05050102010706020507"/>
    <w:charset w:val="02"/>
    <w:family w:val="decorative"/>
    <w:pitch w:val="variable"/>
    <w:sig w:usb0="00000000" w:usb1="10000000" w:usb2="00000000" w:usb3="00000000" w:csb0="80000000" w:csb1="00000000"/>
    <w:embedRegular r:id="rId4" w:fontKey="{1679D576-5E44-AB4F-B1CF-716F8253F8D6}"/>
  </w:font>
  <w:font w:name="Courier New">
    <w:panose1 w:val="02070309020205020404"/>
    <w:charset w:val="00"/>
    <w:family w:val="modern"/>
    <w:pitch w:val="fixed"/>
    <w:sig w:usb0="E0002EFF" w:usb1="C0007843" w:usb2="00000009" w:usb3="00000000" w:csb0="000001FF" w:csb1="00000000"/>
    <w:embedRegular r:id="rId5" w:fontKey="{6BA00E41-572F-0441-BD95-7A8AEA823230}"/>
  </w:font>
  <w:font w:name="Wingdings">
    <w:panose1 w:val="05000000000000000000"/>
    <w:charset w:val="4D"/>
    <w:family w:val="decorative"/>
    <w:pitch w:val="variable"/>
    <w:sig w:usb0="00000003" w:usb1="00000000" w:usb2="00000000" w:usb3="00000000" w:csb0="80000001" w:csb1="00000000"/>
    <w:embedRegular r:id="rId6" w:fontKey="{8C57A1B8-646C-F74A-8245-D91167B277AD}"/>
  </w:font>
  <w:font w:name="Arial">
    <w:panose1 w:val="020B0604020202020204"/>
    <w:charset w:val="00"/>
    <w:family w:val="swiss"/>
    <w:pitch w:val="variable"/>
    <w:sig w:usb0="E0002EFF" w:usb1="C000785B" w:usb2="00000009" w:usb3="00000000" w:csb0="000001FF" w:csb1="00000000"/>
    <w:embedRegular r:id="rId7" w:fontKey="{778A26DE-8098-2246-A807-A06C6D911974}"/>
    <w:embedBold r:id="rId8" w:fontKey="{5044F1EE-4E29-7E4B-B56E-D679EA465A65}"/>
    <w:embedItalic r:id="rId9" w:fontKey="{ED8877A8-6F21-D840-913F-B1863BB1BAEB}"/>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0" w:fontKey="{DEB636CA-B574-5548-8A3A-6DF28EC540C6}"/>
  </w:font>
  <w:font w:name="Cambria">
    <w:panose1 w:val="02040503050406030204"/>
    <w:charset w:val="00"/>
    <w:family w:val="roman"/>
    <w:pitch w:val="variable"/>
    <w:sig w:usb0="E00006FF" w:usb1="420024FF" w:usb2="02000000" w:usb3="00000000" w:csb0="0000019F" w:csb1="00000000"/>
    <w:embedRegular r:id="rId11" w:fontKey="{EA160CD1-D1BD-414A-A5BE-E3BB6F095D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BA3FCA" w14:textId="77777777" w:rsidR="00556DE5" w:rsidRDefault="00556DE5">
    <w:pPr>
      <w:jc w:val="both"/>
    </w:pPr>
  </w:p>
  <w:p w14:paraId="282E0F7C" w14:textId="77777777" w:rsidR="00556DE5" w:rsidRDefault="00556DE5">
    <w:pPr>
      <w:jc w:val="both"/>
    </w:pPr>
  </w:p>
  <w:p w14:paraId="0A14DF7E" w14:textId="77777777" w:rsidR="00556DE5" w:rsidRDefault="00000000">
    <w:pPr>
      <w:jc w:val="right"/>
    </w:pPr>
    <w:r>
      <w:fldChar w:fldCharType="begin"/>
    </w:r>
    <w:r>
      <w:instrText>PAGE</w:instrText>
    </w:r>
    <w:r>
      <w:fldChar w:fldCharType="separate"/>
    </w:r>
    <w:r w:rsidR="00A15FB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44376" w14:textId="77777777" w:rsidR="0031115D" w:rsidRDefault="0031115D">
      <w:r>
        <w:separator/>
      </w:r>
    </w:p>
  </w:footnote>
  <w:footnote w:type="continuationSeparator" w:id="0">
    <w:p w14:paraId="441A4866" w14:textId="77777777" w:rsidR="0031115D" w:rsidRDefault="003111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868FB"/>
    <w:multiLevelType w:val="multilevel"/>
    <w:tmpl w:val="81006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B23357"/>
    <w:multiLevelType w:val="multilevel"/>
    <w:tmpl w:val="A8FEC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8A16AA"/>
    <w:multiLevelType w:val="multilevel"/>
    <w:tmpl w:val="4630E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061897"/>
    <w:multiLevelType w:val="hybridMultilevel"/>
    <w:tmpl w:val="3B7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E263BC"/>
    <w:multiLevelType w:val="multilevel"/>
    <w:tmpl w:val="DE90EE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082276"/>
    <w:multiLevelType w:val="multilevel"/>
    <w:tmpl w:val="6600A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E8C30F4"/>
    <w:multiLevelType w:val="multilevel"/>
    <w:tmpl w:val="83225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03E6038"/>
    <w:multiLevelType w:val="multilevel"/>
    <w:tmpl w:val="176AA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826188"/>
    <w:multiLevelType w:val="multilevel"/>
    <w:tmpl w:val="C0EC9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4B095D"/>
    <w:multiLevelType w:val="hybridMultilevel"/>
    <w:tmpl w:val="D8FCB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6B0E40"/>
    <w:multiLevelType w:val="multilevel"/>
    <w:tmpl w:val="BED80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E0771A"/>
    <w:multiLevelType w:val="multilevel"/>
    <w:tmpl w:val="C8087E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FE24C04"/>
    <w:multiLevelType w:val="hybridMultilevel"/>
    <w:tmpl w:val="DAB4C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AD18EC"/>
    <w:multiLevelType w:val="multilevel"/>
    <w:tmpl w:val="B61E33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2624E2E"/>
    <w:multiLevelType w:val="hybridMultilevel"/>
    <w:tmpl w:val="DB109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256FD5"/>
    <w:multiLevelType w:val="hybridMultilevel"/>
    <w:tmpl w:val="21366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220D99"/>
    <w:multiLevelType w:val="multilevel"/>
    <w:tmpl w:val="B59008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7523E05"/>
    <w:multiLevelType w:val="hybridMultilevel"/>
    <w:tmpl w:val="FA145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76070B"/>
    <w:multiLevelType w:val="multilevel"/>
    <w:tmpl w:val="D79639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F982180"/>
    <w:multiLevelType w:val="hybridMultilevel"/>
    <w:tmpl w:val="E35E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AC49E0"/>
    <w:multiLevelType w:val="multilevel"/>
    <w:tmpl w:val="B98CA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F11D17"/>
    <w:multiLevelType w:val="hybridMultilevel"/>
    <w:tmpl w:val="590A5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22E3D55"/>
    <w:multiLevelType w:val="hybridMultilevel"/>
    <w:tmpl w:val="6F1AC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2F3597D"/>
    <w:multiLevelType w:val="multilevel"/>
    <w:tmpl w:val="B1E4F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2A3460"/>
    <w:multiLevelType w:val="hybridMultilevel"/>
    <w:tmpl w:val="29DA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79B65F6"/>
    <w:multiLevelType w:val="hybridMultilevel"/>
    <w:tmpl w:val="92F07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B22251"/>
    <w:multiLevelType w:val="hybridMultilevel"/>
    <w:tmpl w:val="5C268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A440196"/>
    <w:multiLevelType w:val="multilevel"/>
    <w:tmpl w:val="0AB654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0F532D"/>
    <w:multiLevelType w:val="multilevel"/>
    <w:tmpl w:val="38F203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2D70653"/>
    <w:multiLevelType w:val="multilevel"/>
    <w:tmpl w:val="9B6AD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7930DB4"/>
    <w:multiLevelType w:val="multilevel"/>
    <w:tmpl w:val="ACFA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8646AFC"/>
    <w:multiLevelType w:val="multilevel"/>
    <w:tmpl w:val="3D1E1F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EA44185"/>
    <w:multiLevelType w:val="multilevel"/>
    <w:tmpl w:val="AD3C59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12718AE"/>
    <w:multiLevelType w:val="multilevel"/>
    <w:tmpl w:val="19D2F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40752A"/>
    <w:multiLevelType w:val="hybridMultilevel"/>
    <w:tmpl w:val="1FD8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270AA4"/>
    <w:multiLevelType w:val="multilevel"/>
    <w:tmpl w:val="DB968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747D91"/>
    <w:multiLevelType w:val="multilevel"/>
    <w:tmpl w:val="04F22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F52FAD"/>
    <w:multiLevelType w:val="multilevel"/>
    <w:tmpl w:val="52B0A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F353379"/>
    <w:multiLevelType w:val="multilevel"/>
    <w:tmpl w:val="DC544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6B6715"/>
    <w:multiLevelType w:val="hybridMultilevel"/>
    <w:tmpl w:val="DDA45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1005A7"/>
    <w:multiLevelType w:val="hybridMultilevel"/>
    <w:tmpl w:val="26526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9E70A5"/>
    <w:multiLevelType w:val="multilevel"/>
    <w:tmpl w:val="8C0E9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DC97F19"/>
    <w:multiLevelType w:val="hybridMultilevel"/>
    <w:tmpl w:val="853A7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404FC2"/>
    <w:multiLevelType w:val="multilevel"/>
    <w:tmpl w:val="1FEC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E870B55"/>
    <w:multiLevelType w:val="hybridMultilevel"/>
    <w:tmpl w:val="C22A6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8711EE"/>
    <w:multiLevelType w:val="multilevel"/>
    <w:tmpl w:val="F1ACE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25D3530"/>
    <w:multiLevelType w:val="multilevel"/>
    <w:tmpl w:val="507ABD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727544C5"/>
    <w:multiLevelType w:val="multilevel"/>
    <w:tmpl w:val="E300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43F6732"/>
    <w:multiLevelType w:val="multilevel"/>
    <w:tmpl w:val="6AE0A6F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9" w15:restartNumberingAfterBreak="0">
    <w:nsid w:val="74CF041E"/>
    <w:multiLevelType w:val="multilevel"/>
    <w:tmpl w:val="34B67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5ED54D2"/>
    <w:multiLevelType w:val="multilevel"/>
    <w:tmpl w:val="9BC2E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1" w15:restartNumberingAfterBreak="0">
    <w:nsid w:val="78A3455F"/>
    <w:multiLevelType w:val="hybridMultilevel"/>
    <w:tmpl w:val="273ED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8D319CD"/>
    <w:multiLevelType w:val="hybridMultilevel"/>
    <w:tmpl w:val="A3F8D744"/>
    <w:lvl w:ilvl="0" w:tplc="08090001">
      <w:start w:val="1"/>
      <w:numFmt w:val="bullet"/>
      <w:lvlText w:val=""/>
      <w:lvlJc w:val="left"/>
      <w:pPr>
        <w:ind w:left="720" w:hanging="360"/>
      </w:pPr>
      <w:rPr>
        <w:rFonts w:ascii="Symbol" w:hAnsi="Symbol" w:hint="default"/>
      </w:rPr>
    </w:lvl>
    <w:lvl w:ilvl="1" w:tplc="D45A162E">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CC4FFA"/>
    <w:multiLevelType w:val="hybridMultilevel"/>
    <w:tmpl w:val="03647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B536F"/>
    <w:multiLevelType w:val="multilevel"/>
    <w:tmpl w:val="2DD82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CE65E81"/>
    <w:multiLevelType w:val="hybridMultilevel"/>
    <w:tmpl w:val="735AB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DB67478"/>
    <w:multiLevelType w:val="hybridMultilevel"/>
    <w:tmpl w:val="EC3200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C94E53"/>
    <w:multiLevelType w:val="multilevel"/>
    <w:tmpl w:val="FF7A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F6779CB"/>
    <w:multiLevelType w:val="multilevel"/>
    <w:tmpl w:val="579A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09678455">
    <w:abstractNumId w:val="11"/>
  </w:num>
  <w:num w:numId="2" w16cid:durableId="763185707">
    <w:abstractNumId w:val="30"/>
  </w:num>
  <w:num w:numId="3" w16cid:durableId="1247962770">
    <w:abstractNumId w:val="46"/>
  </w:num>
  <w:num w:numId="4" w16cid:durableId="1996298847">
    <w:abstractNumId w:val="6"/>
  </w:num>
  <w:num w:numId="5" w16cid:durableId="1297492259">
    <w:abstractNumId w:val="13"/>
  </w:num>
  <w:num w:numId="6" w16cid:durableId="1448966497">
    <w:abstractNumId w:val="5"/>
  </w:num>
  <w:num w:numId="7" w16cid:durableId="1860389207">
    <w:abstractNumId w:val="50"/>
  </w:num>
  <w:num w:numId="8" w16cid:durableId="716048403">
    <w:abstractNumId w:val="23"/>
  </w:num>
  <w:num w:numId="9" w16cid:durableId="1787768902">
    <w:abstractNumId w:val="2"/>
  </w:num>
  <w:num w:numId="10" w16cid:durableId="1106190171">
    <w:abstractNumId w:val="27"/>
  </w:num>
  <w:num w:numId="11" w16cid:durableId="885029333">
    <w:abstractNumId w:val="31"/>
  </w:num>
  <w:num w:numId="12" w16cid:durableId="428357634">
    <w:abstractNumId w:val="48"/>
  </w:num>
  <w:num w:numId="13" w16cid:durableId="733773325">
    <w:abstractNumId w:val="32"/>
  </w:num>
  <w:num w:numId="14" w16cid:durableId="2095545744">
    <w:abstractNumId w:val="28"/>
  </w:num>
  <w:num w:numId="15" w16cid:durableId="846097027">
    <w:abstractNumId w:val="18"/>
  </w:num>
  <w:num w:numId="16" w16cid:durableId="1163928603">
    <w:abstractNumId w:val="36"/>
  </w:num>
  <w:num w:numId="17" w16cid:durableId="1011639893">
    <w:abstractNumId w:val="0"/>
  </w:num>
  <w:num w:numId="18" w16cid:durableId="462817423">
    <w:abstractNumId w:val="51"/>
  </w:num>
  <w:num w:numId="19" w16cid:durableId="1592157724">
    <w:abstractNumId w:val="55"/>
  </w:num>
  <w:num w:numId="20" w16cid:durableId="1902252587">
    <w:abstractNumId w:val="12"/>
  </w:num>
  <w:num w:numId="21" w16cid:durableId="427240133">
    <w:abstractNumId w:val="8"/>
  </w:num>
  <w:num w:numId="22" w16cid:durableId="1234896690">
    <w:abstractNumId w:val="22"/>
  </w:num>
  <w:num w:numId="23" w16cid:durableId="2118061372">
    <w:abstractNumId w:val="35"/>
  </w:num>
  <w:num w:numId="24" w16cid:durableId="1859925178">
    <w:abstractNumId w:val="44"/>
  </w:num>
  <w:num w:numId="25" w16cid:durableId="988024138">
    <w:abstractNumId w:val="3"/>
  </w:num>
  <w:num w:numId="26" w16cid:durableId="1082487290">
    <w:abstractNumId w:val="34"/>
  </w:num>
  <w:num w:numId="27" w16cid:durableId="1327632524">
    <w:abstractNumId w:val="47"/>
  </w:num>
  <w:num w:numId="28" w16cid:durableId="507210311">
    <w:abstractNumId w:val="45"/>
  </w:num>
  <w:num w:numId="29" w16cid:durableId="73169010">
    <w:abstractNumId w:val="41"/>
  </w:num>
  <w:num w:numId="30" w16cid:durableId="1703702221">
    <w:abstractNumId w:val="7"/>
  </w:num>
  <w:num w:numId="31" w16cid:durableId="472061319">
    <w:abstractNumId w:val="49"/>
  </w:num>
  <w:num w:numId="32" w16cid:durableId="758676775">
    <w:abstractNumId w:val="10"/>
  </w:num>
  <w:num w:numId="33" w16cid:durableId="1850675841">
    <w:abstractNumId w:val="54"/>
  </w:num>
  <w:num w:numId="34" w16cid:durableId="816413877">
    <w:abstractNumId w:val="29"/>
  </w:num>
  <w:num w:numId="35" w16cid:durableId="260260695">
    <w:abstractNumId w:val="17"/>
  </w:num>
  <w:num w:numId="36" w16cid:durableId="1072653613">
    <w:abstractNumId w:val="37"/>
  </w:num>
  <w:num w:numId="37" w16cid:durableId="1347290659">
    <w:abstractNumId w:val="19"/>
  </w:num>
  <w:num w:numId="38" w16cid:durableId="1399210958">
    <w:abstractNumId w:val="1"/>
  </w:num>
  <w:num w:numId="39" w16cid:durableId="922878579">
    <w:abstractNumId w:val="58"/>
  </w:num>
  <w:num w:numId="40" w16cid:durableId="1291476076">
    <w:abstractNumId w:val="43"/>
  </w:num>
  <w:num w:numId="41" w16cid:durableId="1085036750">
    <w:abstractNumId w:val="20"/>
  </w:num>
  <w:num w:numId="42" w16cid:durableId="81487656">
    <w:abstractNumId w:val="38"/>
  </w:num>
  <w:num w:numId="43" w16cid:durableId="413861477">
    <w:abstractNumId w:val="42"/>
  </w:num>
  <w:num w:numId="44" w16cid:durableId="267465185">
    <w:abstractNumId w:val="57"/>
  </w:num>
  <w:num w:numId="45" w16cid:durableId="1941522792">
    <w:abstractNumId w:val="39"/>
  </w:num>
  <w:num w:numId="46" w16cid:durableId="561990939">
    <w:abstractNumId w:val="26"/>
  </w:num>
  <w:num w:numId="47" w16cid:durableId="1013262645">
    <w:abstractNumId w:val="15"/>
  </w:num>
  <w:num w:numId="48" w16cid:durableId="1491746486">
    <w:abstractNumId w:val="33"/>
  </w:num>
  <w:num w:numId="49" w16cid:durableId="1449545310">
    <w:abstractNumId w:val="16"/>
  </w:num>
  <w:num w:numId="50" w16cid:durableId="787040981">
    <w:abstractNumId w:val="4"/>
  </w:num>
  <w:num w:numId="51" w16cid:durableId="1662662727">
    <w:abstractNumId w:val="21"/>
  </w:num>
  <w:num w:numId="52" w16cid:durableId="1654262707">
    <w:abstractNumId w:val="53"/>
  </w:num>
  <w:num w:numId="53" w16cid:durableId="1719815900">
    <w:abstractNumId w:val="9"/>
  </w:num>
  <w:num w:numId="54" w16cid:durableId="913323834">
    <w:abstractNumId w:val="56"/>
  </w:num>
  <w:num w:numId="55" w16cid:durableId="594635208">
    <w:abstractNumId w:val="40"/>
  </w:num>
  <w:num w:numId="56" w16cid:durableId="598292903">
    <w:abstractNumId w:val="52"/>
  </w:num>
  <w:num w:numId="57" w16cid:durableId="377357733">
    <w:abstractNumId w:val="24"/>
  </w:num>
  <w:num w:numId="58" w16cid:durableId="292905357">
    <w:abstractNumId w:val="14"/>
  </w:num>
  <w:num w:numId="59" w16cid:durableId="16829727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DE5"/>
    <w:rsid w:val="00024FE0"/>
    <w:rsid w:val="00054CE7"/>
    <w:rsid w:val="00065742"/>
    <w:rsid w:val="00070921"/>
    <w:rsid w:val="00086D7F"/>
    <w:rsid w:val="000A0980"/>
    <w:rsid w:val="000A2BB1"/>
    <w:rsid w:val="000C0CB0"/>
    <w:rsid w:val="000D2D33"/>
    <w:rsid w:val="000D4C52"/>
    <w:rsid w:val="001315AA"/>
    <w:rsid w:val="001663C9"/>
    <w:rsid w:val="00171CEF"/>
    <w:rsid w:val="00194DF9"/>
    <w:rsid w:val="001D6B20"/>
    <w:rsid w:val="001E1395"/>
    <w:rsid w:val="00206ECD"/>
    <w:rsid w:val="00224AA1"/>
    <w:rsid w:val="002610B9"/>
    <w:rsid w:val="002873BB"/>
    <w:rsid w:val="002B05B3"/>
    <w:rsid w:val="002B514B"/>
    <w:rsid w:val="002F1A5D"/>
    <w:rsid w:val="0031115D"/>
    <w:rsid w:val="00356E4A"/>
    <w:rsid w:val="00372302"/>
    <w:rsid w:val="003B5DD5"/>
    <w:rsid w:val="003D7B00"/>
    <w:rsid w:val="004063BF"/>
    <w:rsid w:val="00453CC6"/>
    <w:rsid w:val="004858DC"/>
    <w:rsid w:val="004A5C0B"/>
    <w:rsid w:val="005004FE"/>
    <w:rsid w:val="00513BD6"/>
    <w:rsid w:val="00556DE5"/>
    <w:rsid w:val="00565A98"/>
    <w:rsid w:val="005665DD"/>
    <w:rsid w:val="00583C3C"/>
    <w:rsid w:val="005842D0"/>
    <w:rsid w:val="005A2EEC"/>
    <w:rsid w:val="005C5AF9"/>
    <w:rsid w:val="005D37E1"/>
    <w:rsid w:val="005F056C"/>
    <w:rsid w:val="006128E6"/>
    <w:rsid w:val="00654783"/>
    <w:rsid w:val="00656D02"/>
    <w:rsid w:val="00657755"/>
    <w:rsid w:val="006727A1"/>
    <w:rsid w:val="00677965"/>
    <w:rsid w:val="00682FCB"/>
    <w:rsid w:val="006A0E05"/>
    <w:rsid w:val="006C212F"/>
    <w:rsid w:val="006C54C6"/>
    <w:rsid w:val="006D7EFB"/>
    <w:rsid w:val="00702AF7"/>
    <w:rsid w:val="007034BE"/>
    <w:rsid w:val="00722372"/>
    <w:rsid w:val="007264B8"/>
    <w:rsid w:val="00753A62"/>
    <w:rsid w:val="00823514"/>
    <w:rsid w:val="00837E49"/>
    <w:rsid w:val="00847CEF"/>
    <w:rsid w:val="0087781D"/>
    <w:rsid w:val="008863FE"/>
    <w:rsid w:val="008E2076"/>
    <w:rsid w:val="00941AB7"/>
    <w:rsid w:val="009657E5"/>
    <w:rsid w:val="0098770A"/>
    <w:rsid w:val="009A0AA0"/>
    <w:rsid w:val="009A23C7"/>
    <w:rsid w:val="009A6D5F"/>
    <w:rsid w:val="009D6F51"/>
    <w:rsid w:val="009F3CBC"/>
    <w:rsid w:val="00A0613F"/>
    <w:rsid w:val="00A15FBB"/>
    <w:rsid w:val="00A2112B"/>
    <w:rsid w:val="00A31AB8"/>
    <w:rsid w:val="00A329BB"/>
    <w:rsid w:val="00AC70F0"/>
    <w:rsid w:val="00B06F69"/>
    <w:rsid w:val="00B20211"/>
    <w:rsid w:val="00B22A30"/>
    <w:rsid w:val="00B33878"/>
    <w:rsid w:val="00B56C78"/>
    <w:rsid w:val="00B72EDC"/>
    <w:rsid w:val="00B85411"/>
    <w:rsid w:val="00BB4CA8"/>
    <w:rsid w:val="00C03ABE"/>
    <w:rsid w:val="00C04E2A"/>
    <w:rsid w:val="00C13DDB"/>
    <w:rsid w:val="00C3496D"/>
    <w:rsid w:val="00C90881"/>
    <w:rsid w:val="00CB6984"/>
    <w:rsid w:val="00CC2E83"/>
    <w:rsid w:val="00D05C47"/>
    <w:rsid w:val="00D1476A"/>
    <w:rsid w:val="00D209D9"/>
    <w:rsid w:val="00D65054"/>
    <w:rsid w:val="00DE476A"/>
    <w:rsid w:val="00DE69A0"/>
    <w:rsid w:val="00E2245F"/>
    <w:rsid w:val="00E458AE"/>
    <w:rsid w:val="00E45DE4"/>
    <w:rsid w:val="00E55FAD"/>
    <w:rsid w:val="00ED5294"/>
    <w:rsid w:val="00F043AE"/>
    <w:rsid w:val="00F25193"/>
    <w:rsid w:val="00F30805"/>
    <w:rsid w:val="00F550E9"/>
    <w:rsid w:val="00F65852"/>
    <w:rsid w:val="00F73A4B"/>
    <w:rsid w:val="00F85062"/>
    <w:rsid w:val="00F90B6F"/>
    <w:rsid w:val="00FC0CE3"/>
    <w:rsid w:val="00FD039E"/>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82236"/>
  <w15:docId w15:val="{0298E5E7-DD55-234C-BC00-A96EC0EA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514B"/>
    <w:pPr>
      <w:spacing w:line="240" w:lineRule="auto"/>
    </w:pPr>
    <w:rPr>
      <w:rFonts w:ascii="Times New Roman" w:eastAsia="Times New Roman" w:hAnsi="Times New Roman" w:cs="Times New Roman"/>
      <w:sz w:val="24"/>
      <w:szCs w:val="24"/>
      <w:lang w:val="en-GB"/>
    </w:rPr>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lang w:val="en"/>
    </w:rPr>
  </w:style>
  <w:style w:type="paragraph" w:styleId="Heading2">
    <w:name w:val="heading 2"/>
    <w:basedOn w:val="Normal"/>
    <w:next w:val="Normal"/>
    <w:uiPriority w:val="9"/>
    <w:unhideWhenUsed/>
    <w:qFormat/>
    <w:pPr>
      <w:keepNext/>
      <w:keepLines/>
      <w:spacing w:before="360" w:after="120" w:line="276" w:lineRule="auto"/>
      <w:outlineLvl w:val="1"/>
    </w:pPr>
    <w:rPr>
      <w:rFonts w:ascii="Arial" w:eastAsia="Arial" w:hAnsi="Arial" w:cs="Arial"/>
      <w:sz w:val="32"/>
      <w:szCs w:val="32"/>
      <w:lang w:val="en"/>
    </w:rPr>
  </w:style>
  <w:style w:type="paragraph" w:styleId="Heading3">
    <w:name w:val="heading 3"/>
    <w:basedOn w:val="Normal"/>
    <w:next w:val="Normal"/>
    <w:uiPriority w:val="9"/>
    <w:unhideWhenUsed/>
    <w:qFormat/>
    <w:pPr>
      <w:keepNext/>
      <w:keepLines/>
      <w:spacing w:before="320" w:after="80" w:line="276" w:lineRule="auto"/>
      <w:outlineLvl w:val="2"/>
    </w:pPr>
    <w:rPr>
      <w:rFonts w:ascii="Arial" w:eastAsia="Arial" w:hAnsi="Arial" w:cs="Arial"/>
      <w:color w:val="434343"/>
      <w:sz w:val="28"/>
      <w:szCs w:val="28"/>
      <w:lang w:val="en"/>
    </w:rPr>
  </w:style>
  <w:style w:type="paragraph" w:styleId="Heading4">
    <w:name w:val="heading 4"/>
    <w:basedOn w:val="Normal"/>
    <w:next w:val="Normal"/>
    <w:uiPriority w:val="9"/>
    <w:semiHidden/>
    <w:unhideWhenUsed/>
    <w:qFormat/>
    <w:pPr>
      <w:keepNext/>
      <w:keepLines/>
      <w:spacing w:before="280" w:after="80" w:line="276" w:lineRule="auto"/>
      <w:outlineLvl w:val="3"/>
    </w:pPr>
    <w:rPr>
      <w:rFonts w:ascii="Arial" w:eastAsia="Arial" w:hAnsi="Arial" w:cs="Arial"/>
      <w:color w:val="666666"/>
      <w:lang w:val="en"/>
    </w:rPr>
  </w:style>
  <w:style w:type="paragraph" w:styleId="Heading5">
    <w:name w:val="heading 5"/>
    <w:basedOn w:val="Normal"/>
    <w:next w:val="Normal"/>
    <w:uiPriority w:val="9"/>
    <w:semiHidden/>
    <w:unhideWhenUsed/>
    <w:qFormat/>
    <w:pPr>
      <w:keepNext/>
      <w:keepLines/>
      <w:spacing w:before="240" w:after="80" w:line="276" w:lineRule="auto"/>
      <w:outlineLvl w:val="4"/>
    </w:pPr>
    <w:rPr>
      <w:rFonts w:ascii="Arial" w:eastAsia="Arial" w:hAnsi="Arial" w:cs="Arial"/>
      <w:color w:val="666666"/>
      <w:sz w:val="22"/>
      <w:szCs w:val="22"/>
      <w:lang w:val="en"/>
    </w:rPr>
  </w:style>
  <w:style w:type="paragraph" w:styleId="Heading6">
    <w:name w:val="heading 6"/>
    <w:basedOn w:val="Normal"/>
    <w:next w:val="Normal"/>
    <w:uiPriority w:val="9"/>
    <w:semiHidden/>
    <w:unhideWhenUsed/>
    <w:qFormat/>
    <w:pPr>
      <w:keepNext/>
      <w:keepLines/>
      <w:spacing w:before="240" w:after="80" w:line="276" w:lineRule="auto"/>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line="276" w:lineRule="auto"/>
    </w:pPr>
    <w:rPr>
      <w:rFonts w:ascii="Arial" w:eastAsia="Arial" w:hAnsi="Arial" w:cs="Arial"/>
      <w:sz w:val="52"/>
      <w:szCs w:val="52"/>
      <w:lang w:val="en"/>
    </w:rPr>
  </w:style>
  <w:style w:type="paragraph" w:styleId="Subtitle">
    <w:name w:val="Subtitle"/>
    <w:basedOn w:val="Normal"/>
    <w:next w:val="Normal"/>
    <w:uiPriority w:val="11"/>
    <w:qFormat/>
    <w:pPr>
      <w:keepNext/>
      <w:keepLines/>
      <w:spacing w:after="320" w:line="276" w:lineRule="auto"/>
    </w:pPr>
    <w:rPr>
      <w:rFonts w:ascii="Arial" w:eastAsia="Arial" w:hAnsi="Arial" w:cs="Arial"/>
      <w:color w:val="666666"/>
      <w:sz w:val="30"/>
      <w:szCs w:val="30"/>
      <w:lang w:val="en"/>
    </w:rPr>
  </w:style>
  <w:style w:type="paragraph" w:styleId="NormalWeb">
    <w:name w:val="Normal (Web)"/>
    <w:basedOn w:val="Normal"/>
    <w:uiPriority w:val="99"/>
    <w:unhideWhenUsed/>
    <w:rsid w:val="00E2245F"/>
    <w:pPr>
      <w:spacing w:before="100" w:beforeAutospacing="1" w:after="100" w:afterAutospacing="1"/>
    </w:pPr>
  </w:style>
  <w:style w:type="character" w:styleId="Strong">
    <w:name w:val="Strong"/>
    <w:basedOn w:val="DefaultParagraphFont"/>
    <w:uiPriority w:val="22"/>
    <w:qFormat/>
    <w:rsid w:val="003D7B00"/>
    <w:rPr>
      <w:b/>
      <w:bCs/>
    </w:rPr>
  </w:style>
  <w:style w:type="character" w:customStyle="1" w:styleId="apple-converted-space">
    <w:name w:val="apple-converted-space"/>
    <w:basedOn w:val="DefaultParagraphFont"/>
    <w:rsid w:val="003D7B00"/>
  </w:style>
  <w:style w:type="character" w:styleId="Emphasis">
    <w:name w:val="Emphasis"/>
    <w:basedOn w:val="DefaultParagraphFont"/>
    <w:uiPriority w:val="20"/>
    <w:qFormat/>
    <w:rsid w:val="00194DF9"/>
    <w:rPr>
      <w:i/>
      <w:iCs/>
    </w:rPr>
  </w:style>
  <w:style w:type="paragraph" w:styleId="ListParagraph">
    <w:name w:val="List Paragraph"/>
    <w:basedOn w:val="Normal"/>
    <w:uiPriority w:val="34"/>
    <w:qFormat/>
    <w:rsid w:val="00D209D9"/>
    <w:pPr>
      <w:spacing w:line="276" w:lineRule="auto"/>
      <w:ind w:left="720"/>
      <w:contextualSpacing/>
    </w:pPr>
    <w:rPr>
      <w:rFonts w:ascii="Arial" w:eastAsia="Arial" w:hAnsi="Arial" w:cs="Arial"/>
      <w:sz w:val="22"/>
      <w:szCs w:val="22"/>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30</Pages>
  <Words>11140</Words>
  <Characters>63502</Characters>
  <Application>Microsoft Office Word</Application>
  <DocSecurity>0</DocSecurity>
  <Lines>529</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Joao Guimaraes da Costa</cp:lastModifiedBy>
  <cp:revision>2</cp:revision>
  <dcterms:created xsi:type="dcterms:W3CDTF">2025-10-14T20:50:00Z</dcterms:created>
  <dcterms:modified xsi:type="dcterms:W3CDTF">2025-10-14T20:50:00Z</dcterms:modified>
</cp:coreProperties>
</file>