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58249" w14:textId="4594F012" w:rsidR="00707CE3" w:rsidRDefault="00000000">
      <w:r>
        <w:rPr>
          <w:rFonts w:ascii="黑体" w:eastAsia="黑体" w:hAnsi="黑体"/>
          <w:b/>
          <w:sz w:val="24"/>
        </w:rPr>
        <w:t>1.</w:t>
      </w:r>
    </w:p>
    <w:p w14:paraId="0E44233B" w14:textId="77777777" w:rsidR="00707CE3" w:rsidRDefault="00000000">
      <w:r>
        <w:rPr>
          <w:rFonts w:ascii="宋体" w:eastAsia="宋体" w:hAnsi="宋体"/>
          <w:sz w:val="24"/>
        </w:rPr>
        <w:t>TCAD是Technology Computer Aided Design（半导体工艺与器件计算机辅助设计）的简称，它是一套用于模拟半导体器件物理特性及制造工艺的软件工具集。通过求解泊松方程、连续性方程等半导体器件物理基本方程，TCAD能够在计算机上预测器件的电学、光学及热学行为。</w:t>
      </w:r>
    </w:p>
    <w:p w14:paraId="670859CF" w14:textId="77777777" w:rsidR="00707CE3" w:rsidRDefault="00000000">
      <w:pPr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开展TCAD研究的意义主要体现在以下几个方面：第一，显著降低研发成本。现代半导体工艺</w:t>
      </w:r>
      <w:proofErr w:type="gramStart"/>
      <w:r>
        <w:rPr>
          <w:rFonts w:ascii="宋体" w:eastAsia="宋体" w:hAnsi="宋体"/>
          <w:sz w:val="24"/>
          <w:lang w:eastAsia="zh-CN"/>
        </w:rPr>
        <w:t>流片费用</w:t>
      </w:r>
      <w:proofErr w:type="gramEnd"/>
      <w:r>
        <w:rPr>
          <w:rFonts w:ascii="宋体" w:eastAsia="宋体" w:hAnsi="宋体"/>
          <w:sz w:val="24"/>
          <w:lang w:eastAsia="zh-CN"/>
        </w:rPr>
        <w:t>高昂，TCAD仿真可以在流片前对器件结构进行大量虚拟实验，避免</w:t>
      </w:r>
      <w:proofErr w:type="gramStart"/>
      <w:r>
        <w:rPr>
          <w:rFonts w:ascii="宋体" w:eastAsia="宋体" w:hAnsi="宋体"/>
          <w:sz w:val="24"/>
          <w:lang w:eastAsia="zh-CN"/>
        </w:rPr>
        <w:t>盲目流片带来</w:t>
      </w:r>
      <w:proofErr w:type="gramEnd"/>
      <w:r>
        <w:rPr>
          <w:rFonts w:ascii="宋体" w:eastAsia="宋体" w:hAnsi="宋体"/>
          <w:sz w:val="24"/>
          <w:lang w:eastAsia="zh-CN"/>
        </w:rPr>
        <w:t>的巨大经济损失。第二，缩短研发周期。通过仿真可以快速筛选最优结构参数和工艺条件，加速产品迭代。第三，深入理解物理机制。TCAD能够提供器件内部电场、载流子浓度、电流密度等微观物理量的空间分布，帮助研究者洞察实验现象背后的物理本质。第四，优化器件性能。可以在仿真中系统性地调整掺杂分布、几何尺寸等参数，寻找性能最优解。</w:t>
      </w:r>
    </w:p>
    <w:p w14:paraId="466A5010" w14:textId="77777777" w:rsidR="00707CE3" w:rsidRDefault="00707CE3">
      <w:pPr>
        <w:rPr>
          <w:lang w:eastAsia="zh-CN"/>
        </w:rPr>
      </w:pPr>
    </w:p>
    <w:p w14:paraId="778E44EF" w14:textId="7DCAB69B" w:rsidR="00707CE3" w:rsidRDefault="00000000">
      <w:pPr>
        <w:rPr>
          <w:lang w:eastAsia="zh-CN"/>
        </w:rPr>
      </w:pPr>
      <w:r>
        <w:rPr>
          <w:rFonts w:ascii="黑体" w:eastAsia="黑体" w:hAnsi="黑体"/>
          <w:b/>
          <w:sz w:val="24"/>
          <w:lang w:eastAsia="zh-CN"/>
        </w:rPr>
        <w:t xml:space="preserve">2. </w:t>
      </w:r>
    </w:p>
    <w:p w14:paraId="27F77DD6" w14:textId="77777777" w:rsidR="00707CE3" w:rsidRDefault="00000000">
      <w:pPr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TCAD仿真中的网格划分并非越精细越好，而是需要在计算精度与计算资源之间寻求合理平衡。网格的作用是将连续的求解域离散化，以便数值求解偏微分方程。</w:t>
      </w:r>
    </w:p>
    <w:p w14:paraId="5CA33BB4" w14:textId="77777777" w:rsidR="00707CE3" w:rsidRDefault="00000000">
      <w:pPr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从精度角度看，在物理量变化剧烈的区域（如PN结耗尽区、高电场区、界面处）确实需要较精细的网格，以准确捕捉电势、载流子浓度的陡峭梯度，避免因离散化误差导致结果失真。然而，在物理量变化平缓</w:t>
      </w:r>
      <w:proofErr w:type="gramStart"/>
      <w:r>
        <w:rPr>
          <w:rFonts w:ascii="宋体" w:eastAsia="宋体" w:hAnsi="宋体"/>
          <w:sz w:val="24"/>
          <w:lang w:eastAsia="zh-CN"/>
        </w:rPr>
        <w:t>的体区过度</w:t>
      </w:r>
      <w:proofErr w:type="gramEnd"/>
      <w:r>
        <w:rPr>
          <w:rFonts w:ascii="宋体" w:eastAsia="宋体" w:hAnsi="宋体"/>
          <w:sz w:val="24"/>
          <w:lang w:eastAsia="zh-CN"/>
        </w:rPr>
        <w:t>加密网格，对精度提升的贡献十分有限，却会显著增加节点数量。</w:t>
      </w:r>
    </w:p>
    <w:p w14:paraId="7D3654BC" w14:textId="77777777" w:rsidR="00707CE3" w:rsidRDefault="00000000">
      <w:pPr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从计算效率角度看，网格数量直接决定了离散方程组的规模。节点数过多会导致内存占用急剧上升、求解时间大幅延长，甚至使计算无法在合理时间内完成。此外，过于细密的网格有时还会引入数值噪声，影响非线性迭代过程的收敛稳定性。</w:t>
      </w:r>
    </w:p>
    <w:p w14:paraId="285DA32A" w14:textId="77777777" w:rsidR="00707CE3" w:rsidRDefault="00000000">
      <w:pPr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因此，优秀的网格划分策略应遵循"按需加密"的原则：在关键区域采用自适应加密或渐变网格，在平缓区域保持较粗网格，同时通过网格无关性验证确保结果已收敛到稳定值。这样既能保证仿真精度，又能控制计算成本，实现高效可靠的TCAD仿真。</w:t>
      </w:r>
    </w:p>
    <w:p w14:paraId="5CBF48CB" w14:textId="77777777" w:rsidR="004D2276" w:rsidRDefault="004D2276">
      <w:pPr>
        <w:rPr>
          <w:rFonts w:ascii="黑体" w:eastAsia="黑体" w:hAnsi="黑体"/>
          <w:b/>
          <w:sz w:val="24"/>
          <w:lang w:eastAsia="zh-CN"/>
        </w:rPr>
      </w:pPr>
    </w:p>
    <w:p w14:paraId="29A19775" w14:textId="77777777" w:rsidR="004D2276" w:rsidRDefault="004D2276">
      <w:pPr>
        <w:rPr>
          <w:rFonts w:ascii="黑体" w:eastAsia="黑体" w:hAnsi="黑体"/>
          <w:b/>
          <w:sz w:val="24"/>
          <w:lang w:eastAsia="zh-CN"/>
        </w:rPr>
      </w:pPr>
    </w:p>
    <w:p w14:paraId="1ABFC507" w14:textId="77777777" w:rsidR="004D2276" w:rsidRDefault="004D2276">
      <w:pPr>
        <w:rPr>
          <w:rFonts w:ascii="黑体" w:eastAsia="黑体" w:hAnsi="黑体"/>
          <w:b/>
          <w:sz w:val="24"/>
          <w:lang w:eastAsia="zh-CN"/>
        </w:rPr>
      </w:pPr>
    </w:p>
    <w:p w14:paraId="32292229" w14:textId="373C2E0F" w:rsidR="004D2276" w:rsidRDefault="00000000">
      <w:pPr>
        <w:rPr>
          <w:rFonts w:eastAsia="宋体"/>
          <w:lang w:eastAsia="zh-CN"/>
        </w:rPr>
      </w:pPr>
      <w:r>
        <w:rPr>
          <w:rFonts w:ascii="黑体" w:eastAsia="黑体" w:hAnsi="黑体"/>
          <w:b/>
          <w:sz w:val="24"/>
          <w:lang w:eastAsia="zh-CN"/>
        </w:rPr>
        <w:lastRenderedPageBreak/>
        <w:t xml:space="preserve">5. </w:t>
      </w:r>
    </w:p>
    <w:p w14:paraId="6E9C53E5" w14:textId="2C0AB75C" w:rsidR="00707CE3" w:rsidRDefault="00000000">
      <w:pPr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LGAD（Low Gain Avalanche Diode）主流结构的选择，核心原因在于硅材料中电子与空穴电离系数的显著差异，以及全耗尽状态下电场方向对倍增载流子类型的决定性影响。</w:t>
      </w:r>
    </w:p>
    <w:p w14:paraId="7E4B77B7" w14:textId="77777777" w:rsidR="00707CE3" w:rsidRDefault="00000000">
      <w:pPr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在硅中，电子的电离系数显著大于空穴的电离系数。这意味着在相同的高电场强度下，电子引发碰撞电离、产生雪崩倍增的效率远高于空穴。因此，为了使LGAD获得稳定且足够高的增益，应当让电子作为主要的雪崩倍增载流子。</w:t>
      </w:r>
    </w:p>
    <w:p w14:paraId="303CADAE" w14:textId="77777777" w:rsidR="00707CE3" w:rsidRDefault="00000000">
      <w:pPr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在主流N⁺⁺—P⁺增益层—P—P⁺⁺结构中，器件工作于全耗尽</w:t>
      </w:r>
      <w:proofErr w:type="gramStart"/>
      <w:r>
        <w:rPr>
          <w:rFonts w:ascii="宋体" w:eastAsia="宋体" w:hAnsi="宋体"/>
          <w:sz w:val="24"/>
          <w:lang w:eastAsia="zh-CN"/>
        </w:rPr>
        <w:t>的反偏状态</w:t>
      </w:r>
      <w:proofErr w:type="gramEnd"/>
      <w:r>
        <w:rPr>
          <w:rFonts w:ascii="宋体" w:eastAsia="宋体" w:hAnsi="宋体"/>
          <w:sz w:val="24"/>
          <w:lang w:eastAsia="zh-CN"/>
        </w:rPr>
        <w:t>。此时N⁺⁺接触</w:t>
      </w:r>
      <w:proofErr w:type="gramStart"/>
      <w:r>
        <w:rPr>
          <w:rFonts w:ascii="宋体" w:eastAsia="宋体" w:hAnsi="宋体"/>
          <w:sz w:val="24"/>
          <w:lang w:eastAsia="zh-CN"/>
        </w:rPr>
        <w:t>端接正高压</w:t>
      </w:r>
      <w:proofErr w:type="gramEnd"/>
      <w:r>
        <w:rPr>
          <w:rFonts w:ascii="宋体" w:eastAsia="宋体" w:hAnsi="宋体"/>
          <w:sz w:val="24"/>
          <w:lang w:eastAsia="zh-CN"/>
        </w:rPr>
        <w:t>，P⁺⁺接触端接地或低电位，器件内部电场方向由N⁺⁺指向P⁺⁺。电子作为带负电的载流子，其漂移方向与电场方向相反，即从P型高</w:t>
      </w:r>
      <w:proofErr w:type="gramStart"/>
      <w:r>
        <w:rPr>
          <w:rFonts w:ascii="宋体" w:eastAsia="宋体" w:hAnsi="宋体"/>
          <w:sz w:val="24"/>
          <w:lang w:eastAsia="zh-CN"/>
        </w:rPr>
        <w:t>阻硅体区</w:t>
      </w:r>
      <w:proofErr w:type="gramEnd"/>
      <w:r>
        <w:rPr>
          <w:rFonts w:ascii="宋体" w:eastAsia="宋体" w:hAnsi="宋体"/>
          <w:sz w:val="24"/>
          <w:lang w:eastAsia="zh-CN"/>
        </w:rPr>
        <w:t>向N⁺⁺接触端漂移。P⁺增益层紧邻N⁺⁺接触，恰好处于电子漂移路径上的高电场区。当电子</w:t>
      </w:r>
      <w:proofErr w:type="gramStart"/>
      <w:r>
        <w:rPr>
          <w:rFonts w:ascii="宋体" w:eastAsia="宋体" w:hAnsi="宋体"/>
          <w:sz w:val="24"/>
          <w:lang w:eastAsia="zh-CN"/>
        </w:rPr>
        <w:t>从体区进入</w:t>
      </w:r>
      <w:proofErr w:type="gramEnd"/>
      <w:r>
        <w:rPr>
          <w:rFonts w:ascii="宋体" w:eastAsia="宋体" w:hAnsi="宋体"/>
          <w:sz w:val="24"/>
          <w:lang w:eastAsia="zh-CN"/>
        </w:rPr>
        <w:t>增益层时，在强电场作用下发生高效的雪崩倍增，从而实现低噪声、高增益的电荷放大。</w:t>
      </w:r>
    </w:p>
    <w:p w14:paraId="22DFABFA" w14:textId="77777777" w:rsidR="00707CE3" w:rsidRDefault="00000000">
      <w:pPr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若采用对偶的P⁺⁺—N⁺增益层—N—N⁺⁺结构，在相同</w:t>
      </w:r>
      <w:proofErr w:type="gramStart"/>
      <w:r>
        <w:rPr>
          <w:rFonts w:ascii="宋体" w:eastAsia="宋体" w:hAnsi="宋体"/>
          <w:sz w:val="24"/>
          <w:lang w:eastAsia="zh-CN"/>
        </w:rPr>
        <w:t>的反偏极性</w:t>
      </w:r>
      <w:proofErr w:type="gramEnd"/>
      <w:r>
        <w:rPr>
          <w:rFonts w:ascii="宋体" w:eastAsia="宋体" w:hAnsi="宋体"/>
          <w:sz w:val="24"/>
          <w:lang w:eastAsia="zh-CN"/>
        </w:rPr>
        <w:t>下（N⁺⁺接正、P⁺⁺接负），电场方向仍由N⁺⁺指向P⁺⁺。此时N⁺增益层位于P⁺⁺侧附近，处于电场指向的末端。空穴作为带正电的载流子，其漂移方向与电场方向一致，即从N</w:t>
      </w:r>
      <w:proofErr w:type="gramStart"/>
      <w:r>
        <w:rPr>
          <w:rFonts w:ascii="宋体" w:eastAsia="宋体" w:hAnsi="宋体"/>
          <w:sz w:val="24"/>
          <w:lang w:eastAsia="zh-CN"/>
        </w:rPr>
        <w:t>型体区向</w:t>
      </w:r>
      <w:proofErr w:type="gramEnd"/>
      <w:r>
        <w:rPr>
          <w:rFonts w:ascii="宋体" w:eastAsia="宋体" w:hAnsi="宋体"/>
          <w:sz w:val="24"/>
          <w:lang w:eastAsia="zh-CN"/>
        </w:rPr>
        <w:t>P⁺⁺接触端漂移，经过N⁺增益层时发生倍增。然而，由于空穴电离系数远小于电子，该结构不仅增益显著降低，而且倍增过程的统计涨落更大，导致噪声性能恶化。</w:t>
      </w:r>
    </w:p>
    <w:p w14:paraId="79D55F66" w14:textId="77777777" w:rsidR="00707CE3" w:rsidRDefault="00000000">
      <w:pPr>
        <w:rPr>
          <w:rFonts w:ascii="宋体" w:eastAsia="宋体" w:hAnsi="宋体"/>
          <w:sz w:val="24"/>
          <w:lang w:eastAsia="zh-CN"/>
        </w:rPr>
      </w:pPr>
      <w:r>
        <w:rPr>
          <w:rFonts w:ascii="宋体" w:eastAsia="宋体" w:hAnsi="宋体"/>
          <w:sz w:val="24"/>
          <w:lang w:eastAsia="zh-CN"/>
        </w:rPr>
        <w:t>综上所述，主流LGAD采用P型高</w:t>
      </w:r>
      <w:proofErr w:type="gramStart"/>
      <w:r>
        <w:rPr>
          <w:rFonts w:ascii="宋体" w:eastAsia="宋体" w:hAnsi="宋体"/>
          <w:sz w:val="24"/>
          <w:lang w:eastAsia="zh-CN"/>
        </w:rPr>
        <w:t>阻硅配合</w:t>
      </w:r>
      <w:proofErr w:type="gramEnd"/>
      <w:r>
        <w:rPr>
          <w:rFonts w:ascii="宋体" w:eastAsia="宋体" w:hAnsi="宋体"/>
          <w:sz w:val="24"/>
          <w:lang w:eastAsia="zh-CN"/>
        </w:rPr>
        <w:t>P⁺增益层的结构，本质上是为了利用硅中电子电离系数高的优势，使电子在靠近正高压侧的增益层中完成高效雪崩倍增，从而获得高增益、低噪声的优异探测性能。</w:t>
      </w:r>
    </w:p>
    <w:p w14:paraId="08FF44F5" w14:textId="77777777" w:rsidR="004D2276" w:rsidRDefault="004D2276">
      <w:pPr>
        <w:rPr>
          <w:rFonts w:ascii="宋体" w:eastAsia="宋体" w:hAnsi="宋体"/>
          <w:sz w:val="24"/>
          <w:lang w:eastAsia="zh-CN"/>
        </w:rPr>
      </w:pPr>
    </w:p>
    <w:p w14:paraId="15800E90" w14:textId="3E894190" w:rsidR="004D2276" w:rsidRDefault="004D2276">
      <w:pPr>
        <w:rPr>
          <w:rFonts w:hint="eastAsia"/>
          <w:lang w:eastAsia="zh-CN"/>
        </w:rPr>
      </w:pPr>
      <w:proofErr w:type="spellStart"/>
      <w:r>
        <w:rPr>
          <w:rFonts w:ascii="宋体" w:eastAsia="宋体" w:hAnsi="宋体" w:hint="eastAsia"/>
          <w:sz w:val="24"/>
          <w:lang w:eastAsia="zh-CN"/>
        </w:rPr>
        <w:t>Sentaurus</w:t>
      </w:r>
      <w:proofErr w:type="spellEnd"/>
      <w:r>
        <w:rPr>
          <w:rFonts w:ascii="宋体" w:eastAsia="宋体" w:hAnsi="宋体" w:hint="eastAsia"/>
          <w:sz w:val="24"/>
          <w:lang w:eastAsia="zh-CN"/>
        </w:rPr>
        <w:t>的安装出了点问题，安装过程有点太复杂了，中间出了好几次不知道为啥的报错，所以第2，3题暂时还做不了，之后安装好会补回来的。</w:t>
      </w:r>
    </w:p>
    <w:sectPr w:rsidR="004D227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3577990">
    <w:abstractNumId w:val="8"/>
  </w:num>
  <w:num w:numId="2" w16cid:durableId="516386745">
    <w:abstractNumId w:val="6"/>
  </w:num>
  <w:num w:numId="3" w16cid:durableId="592933764">
    <w:abstractNumId w:val="5"/>
  </w:num>
  <w:num w:numId="4" w16cid:durableId="469254710">
    <w:abstractNumId w:val="4"/>
  </w:num>
  <w:num w:numId="5" w16cid:durableId="1773164133">
    <w:abstractNumId w:val="7"/>
  </w:num>
  <w:num w:numId="6" w16cid:durableId="600648149">
    <w:abstractNumId w:val="3"/>
  </w:num>
  <w:num w:numId="7" w16cid:durableId="1823429394">
    <w:abstractNumId w:val="2"/>
  </w:num>
  <w:num w:numId="8" w16cid:durableId="48921214">
    <w:abstractNumId w:val="1"/>
  </w:num>
  <w:num w:numId="9" w16cid:durableId="41917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D2276"/>
    <w:rsid w:val="00707CE3"/>
    <w:rsid w:val="00AA1D8D"/>
    <w:rsid w:val="00B47730"/>
    <w:rsid w:val="00CB0664"/>
    <w:rsid w:val="00F321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842BDD"/>
  <w14:defaultImageDpi w14:val="300"/>
  <w15:docId w15:val="{CDF48E5D-6934-46B0-A64B-71558984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750</Words>
  <Characters>826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文卓 赵</cp:lastModifiedBy>
  <cp:revision>2</cp:revision>
  <dcterms:created xsi:type="dcterms:W3CDTF">2026-07-12T15:24:00Z</dcterms:created>
  <dcterms:modified xsi:type="dcterms:W3CDTF">2026-07-12T15:24:00Z</dcterms:modified>
  <cp:category/>
</cp:coreProperties>
</file>