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337" w:rsidRPr="002F2337" w:rsidRDefault="002F2337" w:rsidP="002F2337">
      <w:pPr>
        <w:keepNext/>
        <w:keepLines/>
        <w:spacing w:before="260" w:after="260" w:line="416" w:lineRule="auto"/>
        <w:outlineLvl w:val="1"/>
        <w:rPr>
          <w:rFonts w:ascii="Times New Roman" w:eastAsia="宋体" w:hAnsi="Times New Roman" w:cs="Times New Roman"/>
          <w:bCs/>
          <w:color w:val="000000"/>
          <w:kern w:val="0"/>
          <w:szCs w:val="21"/>
        </w:rPr>
      </w:pPr>
      <w:r w:rsidRPr="002F2337">
        <w:rPr>
          <w:rFonts w:ascii="Times New Roman" w:eastAsia="宋体" w:hAnsi="Times New Roman" w:cs="Times New Roman"/>
          <w:b/>
          <w:color w:val="000000"/>
          <w:kern w:val="0"/>
          <w:szCs w:val="21"/>
        </w:rPr>
        <w:t>4.4.1 Timing for pixel columns</w:t>
      </w:r>
    </w:p>
    <w:p w:rsidR="00F37502" w:rsidRPr="002F2337" w:rsidRDefault="001C1925" w:rsidP="00F37502">
      <w:pPr>
        <w:rPr>
          <w:rFonts w:ascii="Times New Roman" w:eastAsia="宋体" w:hAnsi="Times New Roman" w:cs="Times New Roman"/>
          <w:szCs w:val="24"/>
        </w:rPr>
      </w:pPr>
      <w:r w:rsidRPr="001C1925">
        <w:rPr>
          <w:rFonts w:ascii="Times New Roman" w:eastAsia="宋体" w:hAnsi="Times New Roman" w:cs="Times New Roman"/>
          <w:noProof/>
          <w:szCs w:val="24"/>
        </w:rPr>
        <w:drawing>
          <wp:inline distT="0" distB="0" distL="0" distR="0">
            <wp:extent cx="8863330" cy="3435367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435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2337" w:rsidRPr="002F2337" w:rsidRDefault="00F37502" w:rsidP="00F37502">
      <w:pPr>
        <w:jc w:val="center"/>
        <w:rPr>
          <w:rFonts w:ascii="Times New Roman" w:eastAsia="宋体" w:hAnsi="Times New Roman" w:cs="Times New Roman"/>
          <w:szCs w:val="24"/>
        </w:rPr>
      </w:pPr>
      <w:r w:rsidRPr="002F2337">
        <w:rPr>
          <w:rFonts w:ascii="Times New Roman" w:eastAsia="宋体" w:hAnsi="Times New Roman" w:cs="Times New Roman"/>
          <w:szCs w:val="24"/>
        </w:rPr>
        <w:t>Fig. 4.4.1 The readout timing sequence of one double column.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00"/>
        <w:gridCol w:w="6899"/>
        <w:gridCol w:w="1665"/>
        <w:gridCol w:w="1409"/>
        <w:gridCol w:w="1375"/>
      </w:tblGrid>
      <w:tr w:rsidR="002F2337" w:rsidRPr="002F2337" w:rsidTr="00F37502">
        <w:tc>
          <w:tcPr>
            <w:tcW w:w="5000" w:type="pct"/>
            <w:gridSpan w:val="5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b/>
                <w:bCs/>
                <w:color w:val="000000"/>
                <w:szCs w:val="24"/>
              </w:rPr>
              <w:t>Timing definition in Fig. 4.4.1</w:t>
            </w:r>
          </w:p>
        </w:tc>
      </w:tr>
      <w:tr w:rsidR="002F2337" w:rsidRPr="002F2337" w:rsidTr="00F37502">
        <w:tc>
          <w:tcPr>
            <w:tcW w:w="932" w:type="pct"/>
            <w:vMerge w:val="restart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Symbol</w:t>
            </w:r>
          </w:p>
        </w:tc>
        <w:tc>
          <w:tcPr>
            <w:tcW w:w="2473" w:type="pct"/>
            <w:vMerge w:val="restart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Description</w:t>
            </w:r>
          </w:p>
        </w:tc>
        <w:tc>
          <w:tcPr>
            <w:tcW w:w="1595" w:type="pct"/>
            <w:gridSpan w:val="3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Value (ns)</w:t>
            </w:r>
          </w:p>
        </w:tc>
      </w:tr>
      <w:tr w:rsidR="002F2337" w:rsidRPr="002F2337" w:rsidTr="00F37502">
        <w:tc>
          <w:tcPr>
            <w:tcW w:w="932" w:type="pct"/>
            <w:vMerge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473" w:type="pct"/>
            <w:vMerge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597" w:type="pct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min</w:t>
            </w:r>
          </w:p>
        </w:tc>
        <w:tc>
          <w:tcPr>
            <w:tcW w:w="505" w:type="pct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typ</w:t>
            </w:r>
          </w:p>
        </w:tc>
        <w:tc>
          <w:tcPr>
            <w:tcW w:w="493" w:type="pct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max</w:t>
            </w:r>
          </w:p>
        </w:tc>
      </w:tr>
      <w:tr w:rsidR="002F2337" w:rsidRPr="002F2337" w:rsidTr="00F37502">
        <w:tc>
          <w:tcPr>
            <w:tcW w:w="932" w:type="pct"/>
          </w:tcPr>
          <w:p w:rsidR="002F2337" w:rsidRPr="002F2337" w:rsidRDefault="002F2337" w:rsidP="004D2E5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Tclk</w:t>
            </w:r>
          </w:p>
        </w:tc>
        <w:tc>
          <w:tcPr>
            <w:tcW w:w="2473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Cycle of system clk</w:t>
            </w:r>
          </w:p>
        </w:tc>
        <w:tc>
          <w:tcPr>
            <w:tcW w:w="597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505" w:type="pct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23</w:t>
            </w:r>
          </w:p>
        </w:tc>
        <w:tc>
          <w:tcPr>
            <w:tcW w:w="493" w:type="pct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2F2337" w:rsidRPr="002F2337" w:rsidTr="00F37502">
        <w:tc>
          <w:tcPr>
            <w:tcW w:w="932" w:type="pct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lastRenderedPageBreak/>
              <w:t>TWA</w:t>
            </w:r>
          </w:p>
        </w:tc>
        <w:tc>
          <w:tcPr>
            <w:tcW w:w="2473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Wait time for different TOAs, larger than time walk</w:t>
            </w:r>
          </w:p>
        </w:tc>
        <w:tc>
          <w:tcPr>
            <w:tcW w:w="597" w:type="pct"/>
          </w:tcPr>
          <w:p w:rsidR="002F2337" w:rsidRPr="002F2337" w:rsidRDefault="002F2337" w:rsidP="00553E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 w:hint="eastAsia"/>
                <w:color w:val="FF0000"/>
                <w:szCs w:val="24"/>
              </w:rPr>
              <w:t>3</w:t>
            </w:r>
            <w:r w:rsidRPr="002F2337">
              <w:rPr>
                <w:rFonts w:ascii="Times New Roman" w:eastAsia="宋体" w:hAnsi="Times New Roman" w:cs="Times New Roman"/>
                <w:color w:val="FF0000"/>
                <w:szCs w:val="24"/>
              </w:rPr>
              <w:t>00/200?</w:t>
            </w:r>
          </w:p>
        </w:tc>
        <w:tc>
          <w:tcPr>
            <w:tcW w:w="505" w:type="pct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493" w:type="pct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6B19BC" w:rsidRPr="002F2337" w:rsidTr="00F37502">
        <w:tc>
          <w:tcPr>
            <w:tcW w:w="932" w:type="pct"/>
          </w:tcPr>
          <w:p w:rsidR="006B19BC" w:rsidRPr="002F2337" w:rsidRDefault="006B19BC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TCLR</w:t>
            </w:r>
          </w:p>
        </w:tc>
        <w:tc>
          <w:tcPr>
            <w:tcW w:w="2473" w:type="pct"/>
          </w:tcPr>
          <w:p w:rsidR="006B19BC" w:rsidRPr="002F2337" w:rsidRDefault="006B19BC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 xml:space="preserve">The clearance </w:t>
            </w:r>
            <w:r w:rsidR="00553EB2">
              <w:rPr>
                <w:rFonts w:ascii="Times New Roman" w:eastAsia="宋体" w:hAnsi="Times New Roman" w:cs="Times New Roman"/>
                <w:szCs w:val="24"/>
              </w:rPr>
              <w:t>between different pixels</w:t>
            </w:r>
          </w:p>
        </w:tc>
        <w:tc>
          <w:tcPr>
            <w:tcW w:w="597" w:type="pct"/>
          </w:tcPr>
          <w:p w:rsidR="006B19BC" w:rsidRPr="002F2337" w:rsidRDefault="00553EB2" w:rsidP="00553EB2">
            <w:pPr>
              <w:jc w:val="center"/>
              <w:rPr>
                <w:rFonts w:ascii="Times New Roman" w:eastAsia="宋体" w:hAnsi="Times New Roman" w:cs="Times New Roman" w:hint="eastAsia"/>
                <w:color w:val="FF000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FF0000"/>
                <w:szCs w:val="24"/>
              </w:rPr>
              <w:t>0</w:t>
            </w:r>
          </w:p>
        </w:tc>
        <w:tc>
          <w:tcPr>
            <w:tcW w:w="505" w:type="pct"/>
          </w:tcPr>
          <w:p w:rsidR="006B19BC" w:rsidRPr="002F2337" w:rsidRDefault="006B19BC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493" w:type="pct"/>
          </w:tcPr>
          <w:p w:rsidR="006B19BC" w:rsidRPr="002F2337" w:rsidRDefault="006B19BC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2F2337" w:rsidRPr="002F2337" w:rsidTr="00F37502">
        <w:tc>
          <w:tcPr>
            <w:tcW w:w="932" w:type="pct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Tdin</w:t>
            </w:r>
          </w:p>
        </w:tc>
        <w:tc>
          <w:tcPr>
            <w:tcW w:w="2473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 xml:space="preserve">The input delay required by the peripheral circuits </w:t>
            </w:r>
          </w:p>
        </w:tc>
        <w:tc>
          <w:tcPr>
            <w:tcW w:w="597" w:type="pct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-</w:t>
            </w:r>
          </w:p>
        </w:tc>
        <w:tc>
          <w:tcPr>
            <w:tcW w:w="505" w:type="pct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-</w:t>
            </w:r>
          </w:p>
        </w:tc>
        <w:tc>
          <w:tcPr>
            <w:tcW w:w="493" w:type="pct"/>
          </w:tcPr>
          <w:p w:rsidR="002F2337" w:rsidRPr="002F2337" w:rsidRDefault="001C1925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6</w:t>
            </w:r>
          </w:p>
        </w:tc>
      </w:tr>
      <w:tr w:rsidR="002F2337" w:rsidRPr="002F2337" w:rsidTr="00F37502">
        <w:tc>
          <w:tcPr>
            <w:tcW w:w="932" w:type="pct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Tsu</w:t>
            </w:r>
          </w:p>
        </w:tc>
        <w:tc>
          <w:tcPr>
            <w:tcW w:w="2473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Setup time required by the latch at the end of double column</w:t>
            </w:r>
          </w:p>
        </w:tc>
        <w:tc>
          <w:tcPr>
            <w:tcW w:w="597" w:type="pct"/>
          </w:tcPr>
          <w:p w:rsidR="002F2337" w:rsidRPr="00553EB2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505" w:type="pct"/>
          </w:tcPr>
          <w:p w:rsidR="002F2337" w:rsidRPr="00553EB2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493" w:type="pct"/>
          </w:tcPr>
          <w:p w:rsidR="002F2337" w:rsidRPr="00553EB2" w:rsidRDefault="001C1925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553EB2">
              <w:rPr>
                <w:rFonts w:ascii="Times New Roman" w:eastAsia="宋体" w:hAnsi="Times New Roman" w:cs="Times New Roman" w:hint="eastAsia"/>
                <w:szCs w:val="24"/>
              </w:rPr>
              <w:t>1</w:t>
            </w:r>
          </w:p>
        </w:tc>
      </w:tr>
      <w:tr w:rsidR="002F2337" w:rsidRPr="002F2337" w:rsidTr="00F37502">
        <w:tc>
          <w:tcPr>
            <w:tcW w:w="932" w:type="pct"/>
          </w:tcPr>
          <w:p w:rsidR="002F2337" w:rsidRPr="001C1925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bookmarkStart w:id="0" w:name="_GoBack" w:colFirst="2" w:colLast="2"/>
            <w:r w:rsidRPr="001C1925">
              <w:rPr>
                <w:rFonts w:ascii="Times New Roman" w:eastAsia="宋体" w:hAnsi="Times New Roman" w:cs="Times New Roman"/>
                <w:szCs w:val="24"/>
              </w:rPr>
              <w:t>Thd</w:t>
            </w:r>
          </w:p>
        </w:tc>
        <w:tc>
          <w:tcPr>
            <w:tcW w:w="2473" w:type="pct"/>
          </w:tcPr>
          <w:p w:rsidR="002F2337" w:rsidRPr="001C1925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1C1925">
              <w:rPr>
                <w:rFonts w:ascii="Times New Roman" w:eastAsia="宋体" w:hAnsi="Times New Roman" w:cs="Times New Roman"/>
                <w:szCs w:val="24"/>
              </w:rPr>
              <w:t>Hold time required by the latch at the end of double column</w:t>
            </w:r>
          </w:p>
        </w:tc>
        <w:tc>
          <w:tcPr>
            <w:tcW w:w="597" w:type="pct"/>
          </w:tcPr>
          <w:p w:rsidR="002F2337" w:rsidRPr="00553EB2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553EB2">
              <w:rPr>
                <w:rFonts w:ascii="Times New Roman" w:eastAsia="宋体" w:hAnsi="Times New Roman" w:cs="Times New Roman" w:hint="eastAsia"/>
                <w:szCs w:val="24"/>
              </w:rPr>
              <w:t>1</w:t>
            </w:r>
          </w:p>
        </w:tc>
        <w:tc>
          <w:tcPr>
            <w:tcW w:w="505" w:type="pct"/>
          </w:tcPr>
          <w:p w:rsidR="002F2337" w:rsidRPr="00553EB2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493" w:type="pct"/>
          </w:tcPr>
          <w:p w:rsidR="002F2337" w:rsidRPr="00553EB2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2F2337" w:rsidRPr="002F2337" w:rsidTr="00F37502">
        <w:tc>
          <w:tcPr>
            <w:tcW w:w="932" w:type="pct"/>
          </w:tcPr>
          <w:p w:rsidR="002F2337" w:rsidRPr="001C1925" w:rsidRDefault="001C1925" w:rsidP="002F2337">
            <w:pPr>
              <w:jc w:val="center"/>
              <w:rPr>
                <w:rFonts w:ascii="Times New Roman" w:eastAsia="宋体" w:hAnsi="Times New Roman" w:cs="Times New Roman" w:hint="eastAsia"/>
                <w:szCs w:val="24"/>
              </w:rPr>
            </w:pPr>
            <w:r w:rsidRPr="001C1925">
              <w:rPr>
                <w:rFonts w:ascii="Times New Roman" w:eastAsia="宋体" w:hAnsi="Times New Roman" w:cs="Times New Roman"/>
                <w:szCs w:val="24"/>
              </w:rPr>
              <w:t>TDFOR</w:t>
            </w:r>
          </w:p>
        </w:tc>
        <w:tc>
          <w:tcPr>
            <w:tcW w:w="2473" w:type="pct"/>
          </w:tcPr>
          <w:p w:rsidR="002F2337" w:rsidRPr="001C1925" w:rsidRDefault="002F2337" w:rsidP="001C1925">
            <w:pPr>
              <w:rPr>
                <w:rFonts w:ascii="Times New Roman" w:eastAsia="宋体" w:hAnsi="Times New Roman" w:cs="Times New Roman"/>
                <w:szCs w:val="24"/>
              </w:rPr>
            </w:pPr>
            <w:r w:rsidRPr="001C1925">
              <w:rPr>
                <w:rFonts w:ascii="Times New Roman" w:eastAsia="宋体" w:hAnsi="Times New Roman" w:cs="Times New Roman"/>
                <w:szCs w:val="24"/>
              </w:rPr>
              <w:t>The delay time of Fastor referring positive edge of fastor. 0&lt;TDAP&lt;</w:t>
            </w:r>
            <w:r w:rsidR="001C1925" w:rsidRPr="001C1925">
              <w:rPr>
                <w:rFonts w:ascii="Times New Roman" w:eastAsia="宋体" w:hAnsi="Times New Roman" w:cs="Times New Roman"/>
                <w:szCs w:val="24"/>
              </w:rPr>
              <w:t>1</w:t>
            </w:r>
            <w:r w:rsidRPr="001C1925">
              <w:rPr>
                <w:rFonts w:ascii="Times New Roman" w:eastAsia="宋体" w:hAnsi="Times New Roman" w:cs="Times New Roman"/>
                <w:szCs w:val="24"/>
              </w:rPr>
              <w:t>2Tclk-T</w:t>
            </w:r>
            <w:r w:rsidR="001C1925" w:rsidRPr="001C1925">
              <w:rPr>
                <w:rFonts w:ascii="Times New Roman" w:eastAsia="宋体" w:hAnsi="Times New Roman" w:cs="Times New Roman"/>
                <w:szCs w:val="24"/>
              </w:rPr>
              <w:t>su</w:t>
            </w:r>
          </w:p>
        </w:tc>
        <w:tc>
          <w:tcPr>
            <w:tcW w:w="597" w:type="pct"/>
          </w:tcPr>
          <w:p w:rsidR="002F2337" w:rsidRPr="00553EB2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553EB2">
              <w:rPr>
                <w:rFonts w:ascii="Times New Roman" w:eastAsia="宋体" w:hAnsi="Times New Roman" w:cs="Times New Roman"/>
                <w:szCs w:val="24"/>
              </w:rPr>
              <w:t>0</w:t>
            </w:r>
          </w:p>
        </w:tc>
        <w:tc>
          <w:tcPr>
            <w:tcW w:w="505" w:type="pct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-</w:t>
            </w:r>
          </w:p>
        </w:tc>
        <w:tc>
          <w:tcPr>
            <w:tcW w:w="493" w:type="pct"/>
          </w:tcPr>
          <w:p w:rsidR="002F2337" w:rsidRPr="002F2337" w:rsidRDefault="001C1925" w:rsidP="001C1925">
            <w:pPr>
              <w:jc w:val="center"/>
              <w:rPr>
                <w:rFonts w:ascii="Times New Roman" w:eastAsia="宋体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color w:val="FF0000"/>
                <w:szCs w:val="24"/>
              </w:rPr>
              <w:t>172</w:t>
            </w:r>
          </w:p>
        </w:tc>
      </w:tr>
      <w:tr w:rsidR="002F2337" w:rsidRPr="002F2337" w:rsidTr="00F37502">
        <w:tc>
          <w:tcPr>
            <w:tcW w:w="932" w:type="pct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TDAP</w:t>
            </w:r>
          </w:p>
        </w:tc>
        <w:tc>
          <w:tcPr>
            <w:tcW w:w="2473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The address delay at the positive edge of READ</w:t>
            </w:r>
          </w:p>
          <w:p w:rsidR="002F2337" w:rsidRPr="002F2337" w:rsidRDefault="002F2337" w:rsidP="001C1925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0&lt;TDA</w:t>
            </w:r>
            <w:r w:rsidRPr="001C1925">
              <w:rPr>
                <w:rFonts w:ascii="Times New Roman" w:eastAsia="宋体" w:hAnsi="Times New Roman" w:cs="Times New Roman"/>
                <w:szCs w:val="24"/>
              </w:rPr>
              <w:t>P&lt;</w:t>
            </w:r>
            <w:r w:rsidR="001C1925" w:rsidRPr="001C1925">
              <w:rPr>
                <w:rFonts w:ascii="Times New Roman" w:eastAsia="宋体" w:hAnsi="Times New Roman" w:cs="Times New Roman"/>
                <w:strike/>
                <w:szCs w:val="24"/>
              </w:rPr>
              <w:t>4</w:t>
            </w:r>
            <w:r w:rsidRPr="001C1925">
              <w:rPr>
                <w:rFonts w:ascii="Times New Roman" w:eastAsia="宋体" w:hAnsi="Times New Roman" w:cs="Times New Roman"/>
                <w:szCs w:val="24"/>
              </w:rPr>
              <w:t>Tclk-Tsu</w:t>
            </w:r>
          </w:p>
        </w:tc>
        <w:tc>
          <w:tcPr>
            <w:tcW w:w="597" w:type="pct"/>
          </w:tcPr>
          <w:p w:rsidR="002F2337" w:rsidRPr="00553EB2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505" w:type="pct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493" w:type="pct"/>
          </w:tcPr>
          <w:p w:rsidR="002F2337" w:rsidRPr="002F2337" w:rsidRDefault="00B0675C" w:rsidP="002F2337">
            <w:pPr>
              <w:jc w:val="center"/>
              <w:rPr>
                <w:rFonts w:ascii="Times New Roman" w:eastAsia="宋体" w:hAnsi="Times New Roman" w:cs="Times New Roman"/>
                <w:color w:val="FF0000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FF0000"/>
                <w:szCs w:val="24"/>
              </w:rPr>
              <w:t>80</w:t>
            </w:r>
          </w:p>
        </w:tc>
      </w:tr>
      <w:tr w:rsidR="002F2337" w:rsidRPr="002F2337" w:rsidTr="00F37502">
        <w:tc>
          <w:tcPr>
            <w:tcW w:w="932" w:type="pct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TDAN</w:t>
            </w:r>
          </w:p>
        </w:tc>
        <w:tc>
          <w:tcPr>
            <w:tcW w:w="2473" w:type="pct"/>
          </w:tcPr>
          <w:p w:rsidR="002F2337" w:rsidRPr="002F2337" w:rsidRDefault="002F2337" w:rsidP="001C1925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The address hold time at the negative edge of READ ( in order to satisfy the hold time of the addr latch</w:t>
            </w:r>
            <w:r w:rsidRPr="006B19BC">
              <w:rPr>
                <w:rFonts w:ascii="Times New Roman" w:eastAsia="宋体" w:hAnsi="Times New Roman" w:cs="Times New Roman"/>
                <w:szCs w:val="24"/>
              </w:rPr>
              <w:t>). TDAN&gt;Thd</w:t>
            </w:r>
          </w:p>
        </w:tc>
        <w:tc>
          <w:tcPr>
            <w:tcW w:w="597" w:type="pct"/>
          </w:tcPr>
          <w:p w:rsidR="002F2337" w:rsidRPr="00553EB2" w:rsidRDefault="00B0675C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553EB2">
              <w:rPr>
                <w:rFonts w:ascii="Times New Roman" w:eastAsia="宋体" w:hAnsi="Times New Roman" w:cs="Times New Roman" w:hint="eastAsia"/>
                <w:szCs w:val="24"/>
              </w:rPr>
              <w:t>1</w:t>
            </w:r>
          </w:p>
        </w:tc>
        <w:tc>
          <w:tcPr>
            <w:tcW w:w="505" w:type="pct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493" w:type="pct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color w:val="FF0000"/>
                <w:szCs w:val="24"/>
              </w:rPr>
            </w:pPr>
          </w:p>
        </w:tc>
      </w:tr>
      <w:bookmarkEnd w:id="0"/>
      <w:tr w:rsidR="002F2337" w:rsidRPr="002F2337" w:rsidTr="00F37502">
        <w:tc>
          <w:tcPr>
            <w:tcW w:w="5000" w:type="pct"/>
            <w:gridSpan w:val="5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b/>
                <w:bCs/>
                <w:szCs w:val="24"/>
              </w:rPr>
              <w:t xml:space="preserve">Signal description </w:t>
            </w:r>
            <w:r w:rsidRPr="002F2337">
              <w:rPr>
                <w:rFonts w:ascii="Times New Roman" w:eastAsia="宋体" w:hAnsi="Times New Roman" w:cs="Times New Roman"/>
                <w:b/>
                <w:bCs/>
                <w:color w:val="000000"/>
                <w:szCs w:val="24"/>
              </w:rPr>
              <w:t>in Fig. 4.4.1</w:t>
            </w:r>
          </w:p>
        </w:tc>
      </w:tr>
      <w:tr w:rsidR="002F2337" w:rsidRPr="002F2337" w:rsidTr="00F37502">
        <w:tc>
          <w:tcPr>
            <w:tcW w:w="932" w:type="pct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Name</w:t>
            </w:r>
          </w:p>
        </w:tc>
        <w:tc>
          <w:tcPr>
            <w:tcW w:w="2473" w:type="pct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Description</w:t>
            </w:r>
          </w:p>
        </w:tc>
        <w:tc>
          <w:tcPr>
            <w:tcW w:w="1595" w:type="pct"/>
            <w:gridSpan w:val="3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Note</w:t>
            </w:r>
          </w:p>
        </w:tc>
      </w:tr>
      <w:tr w:rsidR="002F2337" w:rsidRPr="002F2337" w:rsidTr="00F37502">
        <w:tc>
          <w:tcPr>
            <w:tcW w:w="932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Fastor</w:t>
            </w:r>
            <w:r w:rsidRPr="002F2337">
              <w:rPr>
                <w:rFonts w:ascii="Times New Roman" w:eastAsia="宋体" w:hAnsi="Times New Roman" w:cs="Times New Roman" w:hint="eastAsia"/>
                <w:szCs w:val="24"/>
              </w:rPr>
              <w:t>（</w:t>
            </w:r>
            <w:r w:rsidRPr="002F2337">
              <w:rPr>
                <w:rFonts w:ascii="Times New Roman" w:eastAsia="宋体" w:hAnsi="Times New Roman" w:cs="Times New Roman"/>
                <w:szCs w:val="24"/>
              </w:rPr>
              <w:t>EOC</w:t>
            </w:r>
            <w:r w:rsidRPr="002F2337">
              <w:rPr>
                <w:rFonts w:ascii="Times New Roman" w:eastAsia="宋体" w:hAnsi="Times New Roman" w:cs="Times New Roman" w:hint="eastAsia"/>
                <w:szCs w:val="24"/>
              </w:rPr>
              <w:t>）</w:t>
            </w:r>
          </w:p>
        </w:tc>
        <w:tc>
          <w:tcPr>
            <w:tcW w:w="2473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OR results of all the pixel digital output in a double column. EOC means end of column, the nearest position to the peripheral circuits.</w:t>
            </w:r>
          </w:p>
        </w:tc>
        <w:tc>
          <w:tcPr>
            <w:tcW w:w="1595" w:type="pct"/>
            <w:gridSpan w:val="3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Interface signal from pixel array</w:t>
            </w:r>
          </w:p>
        </w:tc>
      </w:tr>
      <w:tr w:rsidR="002F2337" w:rsidRPr="002F2337" w:rsidTr="00F37502">
        <w:tc>
          <w:tcPr>
            <w:tcW w:w="932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 w:hint="eastAsia"/>
                <w:szCs w:val="24"/>
              </w:rPr>
              <w:t>F</w:t>
            </w:r>
            <w:r w:rsidRPr="002F2337">
              <w:rPr>
                <w:rFonts w:ascii="Times New Roman" w:eastAsia="宋体" w:hAnsi="Times New Roman" w:cs="Times New Roman"/>
                <w:szCs w:val="24"/>
              </w:rPr>
              <w:t>RERZE(EOC)</w:t>
            </w:r>
          </w:p>
        </w:tc>
        <w:tc>
          <w:tcPr>
            <w:tcW w:w="2473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Freeze the pixel state, avoid the new hit disturbing the present readout.</w:t>
            </w:r>
          </w:p>
        </w:tc>
        <w:tc>
          <w:tcPr>
            <w:tcW w:w="1595" w:type="pct"/>
            <w:gridSpan w:val="3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Interface signal from periphery</w:t>
            </w:r>
          </w:p>
        </w:tc>
      </w:tr>
      <w:tr w:rsidR="002F2337" w:rsidRPr="002F2337" w:rsidTr="00F37502">
        <w:tc>
          <w:tcPr>
            <w:tcW w:w="932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READ</w:t>
            </w:r>
            <w:r w:rsidRPr="002F2337">
              <w:rPr>
                <w:rFonts w:ascii="Times New Roman" w:eastAsia="宋体" w:hAnsi="Times New Roman" w:cs="Times New Roman" w:hint="eastAsia"/>
                <w:szCs w:val="24"/>
              </w:rPr>
              <w:t>（</w:t>
            </w:r>
            <w:r w:rsidRPr="002F2337">
              <w:rPr>
                <w:rFonts w:ascii="Times New Roman" w:eastAsia="宋体" w:hAnsi="Times New Roman" w:cs="Times New Roman"/>
                <w:szCs w:val="24"/>
              </w:rPr>
              <w:t>EOC</w:t>
            </w:r>
            <w:r w:rsidRPr="002F2337">
              <w:rPr>
                <w:rFonts w:ascii="Times New Roman" w:eastAsia="宋体" w:hAnsi="Times New Roman" w:cs="Times New Roman" w:hint="eastAsia"/>
                <w:szCs w:val="24"/>
              </w:rPr>
              <w:t>）</w:t>
            </w:r>
          </w:p>
        </w:tc>
        <w:tc>
          <w:tcPr>
            <w:tcW w:w="2473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 xml:space="preserve">Hit address read signal. Reset the hit pixel when high. READ(EOC) indicates the read signal just sent from the peripheral circuits. </w:t>
            </w:r>
          </w:p>
        </w:tc>
        <w:tc>
          <w:tcPr>
            <w:tcW w:w="1595" w:type="pct"/>
            <w:gridSpan w:val="3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Interface signal from periphery</w:t>
            </w:r>
          </w:p>
        </w:tc>
      </w:tr>
      <w:tr w:rsidR="002F2337" w:rsidRPr="002F2337" w:rsidTr="00F37502">
        <w:tc>
          <w:tcPr>
            <w:tcW w:w="932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READ</w:t>
            </w:r>
            <w:r w:rsidRPr="002F2337">
              <w:rPr>
                <w:rFonts w:ascii="Times New Roman" w:eastAsia="宋体" w:hAnsi="Times New Roman" w:cs="Times New Roman" w:hint="eastAsia"/>
                <w:szCs w:val="24"/>
              </w:rPr>
              <w:t>（</w:t>
            </w:r>
            <w:r w:rsidRPr="002F2337">
              <w:rPr>
                <w:rFonts w:ascii="Times New Roman" w:eastAsia="宋体" w:hAnsi="Times New Roman" w:cs="Times New Roman"/>
                <w:szCs w:val="24"/>
              </w:rPr>
              <w:t>top</w:t>
            </w:r>
            <w:r w:rsidRPr="002F2337">
              <w:rPr>
                <w:rFonts w:ascii="Times New Roman" w:eastAsia="宋体" w:hAnsi="Times New Roman" w:cs="Times New Roman" w:hint="eastAsia"/>
                <w:szCs w:val="24"/>
              </w:rPr>
              <w:t>）</w:t>
            </w:r>
          </w:p>
        </w:tc>
        <w:tc>
          <w:tcPr>
            <w:tcW w:w="2473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Hit address read signal. Reset the hit pixel when high. READ(top) indicates the read signal arrived the farthest pixel.</w:t>
            </w:r>
          </w:p>
        </w:tc>
        <w:tc>
          <w:tcPr>
            <w:tcW w:w="1595" w:type="pct"/>
            <w:gridSpan w:val="3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Signals in Pixel array</w:t>
            </w:r>
          </w:p>
        </w:tc>
      </w:tr>
      <w:tr w:rsidR="002F2337" w:rsidRPr="002F2337" w:rsidTr="00F37502">
        <w:tc>
          <w:tcPr>
            <w:tcW w:w="932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ADDR_FEI3_i</w:t>
            </w:r>
          </w:p>
        </w:tc>
        <w:tc>
          <w:tcPr>
            <w:tcW w:w="2473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The address before addr latch</w:t>
            </w:r>
          </w:p>
        </w:tc>
        <w:tc>
          <w:tcPr>
            <w:tcW w:w="1595" w:type="pct"/>
            <w:gridSpan w:val="3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Signals in Pixel array</w:t>
            </w:r>
          </w:p>
        </w:tc>
      </w:tr>
      <w:tr w:rsidR="002F2337" w:rsidRPr="002F2337" w:rsidTr="00F37502">
        <w:tc>
          <w:tcPr>
            <w:tcW w:w="932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PullN</w:t>
            </w:r>
          </w:p>
        </w:tc>
        <w:tc>
          <w:tcPr>
            <w:tcW w:w="2473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 xml:space="preserve">The pull up signal for the ADDR_FEI3_i, low active. </w:t>
            </w:r>
            <w:r w:rsidRPr="002F2337">
              <w:rPr>
                <w:rFonts w:ascii="Times New Roman" w:eastAsia="宋体" w:hAnsi="Times New Roman" w:cs="Times New Roman" w:hint="eastAsia"/>
                <w:szCs w:val="24"/>
              </w:rPr>
              <w:t>低有效，控制将地址拉高。</w:t>
            </w:r>
          </w:p>
        </w:tc>
        <w:tc>
          <w:tcPr>
            <w:tcW w:w="1595" w:type="pct"/>
            <w:gridSpan w:val="3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Interface signal from periphery</w:t>
            </w:r>
          </w:p>
        </w:tc>
      </w:tr>
      <w:tr w:rsidR="002F2337" w:rsidRPr="002F2337" w:rsidTr="00F37502">
        <w:tc>
          <w:tcPr>
            <w:tcW w:w="932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Latch_en</w:t>
            </w:r>
          </w:p>
        </w:tc>
        <w:tc>
          <w:tcPr>
            <w:tcW w:w="2473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The latch en of the addr latch, high active.</w:t>
            </w:r>
          </w:p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 w:hint="eastAsia"/>
                <w:szCs w:val="24"/>
              </w:rPr>
              <w:t>高数据通过，低数据保持。</w:t>
            </w:r>
          </w:p>
        </w:tc>
        <w:tc>
          <w:tcPr>
            <w:tcW w:w="1595" w:type="pct"/>
            <w:gridSpan w:val="3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Interface signal from periphery</w:t>
            </w:r>
          </w:p>
        </w:tc>
      </w:tr>
      <w:tr w:rsidR="002F2337" w:rsidRPr="002F2337" w:rsidTr="00F37502">
        <w:tc>
          <w:tcPr>
            <w:tcW w:w="932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ADDR_FEI3_o</w:t>
            </w:r>
          </w:p>
        </w:tc>
        <w:tc>
          <w:tcPr>
            <w:tcW w:w="2473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The address after addr latch, which will be sent to the peripheral circuits</w:t>
            </w:r>
          </w:p>
        </w:tc>
        <w:tc>
          <w:tcPr>
            <w:tcW w:w="1595" w:type="pct"/>
            <w:gridSpan w:val="3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Interface signal from pixel array</w:t>
            </w:r>
          </w:p>
        </w:tc>
      </w:tr>
      <w:tr w:rsidR="002F2337" w:rsidRPr="002F2337" w:rsidTr="00F37502">
        <w:tc>
          <w:tcPr>
            <w:tcW w:w="932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lastRenderedPageBreak/>
              <w:t>CLK</w:t>
            </w:r>
          </w:p>
        </w:tc>
        <w:tc>
          <w:tcPr>
            <w:tcW w:w="2473" w:type="pct"/>
          </w:tcPr>
          <w:p w:rsidR="002F2337" w:rsidRPr="002F2337" w:rsidRDefault="002F2337" w:rsidP="00F37502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 xml:space="preserve">The </w:t>
            </w:r>
            <w:r w:rsidR="00F37502">
              <w:rPr>
                <w:rFonts w:ascii="Times New Roman" w:eastAsia="宋体" w:hAnsi="Times New Roman" w:cs="Times New Roman"/>
                <w:szCs w:val="24"/>
              </w:rPr>
              <w:t>main</w:t>
            </w:r>
            <w:r w:rsidRPr="002F2337">
              <w:rPr>
                <w:rFonts w:ascii="Times New Roman" w:eastAsia="宋体" w:hAnsi="Times New Roman" w:cs="Times New Roman"/>
                <w:szCs w:val="24"/>
              </w:rPr>
              <w:t xml:space="preserve"> clock, 40 MHz</w:t>
            </w:r>
            <w:r w:rsidR="00F37502">
              <w:rPr>
                <w:rFonts w:ascii="Times New Roman" w:eastAsia="宋体" w:hAnsi="Times New Roman" w:cs="Times New Roman"/>
                <w:szCs w:val="24"/>
              </w:rPr>
              <w:t xml:space="preserve"> in FCC, 43.33MHz in CEPC</w:t>
            </w:r>
          </w:p>
        </w:tc>
        <w:tc>
          <w:tcPr>
            <w:tcW w:w="1595" w:type="pct"/>
            <w:gridSpan w:val="3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Signals in Periphery</w:t>
            </w:r>
          </w:p>
        </w:tc>
      </w:tr>
      <w:tr w:rsidR="00F37502" w:rsidRPr="002F2337" w:rsidTr="00F37502">
        <w:tc>
          <w:tcPr>
            <w:tcW w:w="932" w:type="pct"/>
          </w:tcPr>
          <w:p w:rsidR="00F37502" w:rsidRPr="002F2337" w:rsidRDefault="00F37502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CLK20M</w:t>
            </w:r>
          </w:p>
        </w:tc>
        <w:tc>
          <w:tcPr>
            <w:tcW w:w="2473" w:type="pct"/>
          </w:tcPr>
          <w:p w:rsidR="00F37502" w:rsidRPr="002F2337" w:rsidRDefault="00F37502" w:rsidP="002F2337">
            <w:pPr>
              <w:rPr>
                <w:rFonts w:ascii="Times New Roman" w:eastAsia="宋体" w:hAnsi="Times New Roman" w:cs="Times New Roman" w:hint="eastAsia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Generated clock</w:t>
            </w:r>
            <w:r>
              <w:rPr>
                <w:rFonts w:ascii="Times New Roman" w:eastAsia="宋体" w:hAnsi="Times New Roman" w:cs="Times New Roman" w:hint="eastAsia"/>
                <w:szCs w:val="24"/>
              </w:rPr>
              <w:t>,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frequency is half of CLK</w:t>
            </w:r>
          </w:p>
        </w:tc>
        <w:tc>
          <w:tcPr>
            <w:tcW w:w="1595" w:type="pct"/>
            <w:gridSpan w:val="3"/>
          </w:tcPr>
          <w:p w:rsidR="00F37502" w:rsidRPr="002F2337" w:rsidRDefault="00F37502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Signals in Periphery</w:t>
            </w:r>
          </w:p>
        </w:tc>
      </w:tr>
      <w:tr w:rsidR="002F2337" w:rsidRPr="002F2337" w:rsidTr="00F37502">
        <w:tc>
          <w:tcPr>
            <w:tcW w:w="932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Fastor_syn</w:t>
            </w:r>
          </w:p>
        </w:tc>
        <w:tc>
          <w:tcPr>
            <w:tcW w:w="2473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The synchronized Fastor in the peripheral signal</w:t>
            </w:r>
          </w:p>
        </w:tc>
        <w:tc>
          <w:tcPr>
            <w:tcW w:w="1595" w:type="pct"/>
            <w:gridSpan w:val="3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Signals in Periphery</w:t>
            </w:r>
          </w:p>
        </w:tc>
      </w:tr>
      <w:tr w:rsidR="002F2337" w:rsidRPr="002F2337" w:rsidTr="00F37502">
        <w:tc>
          <w:tcPr>
            <w:tcW w:w="932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Latch_en_Per</w:t>
            </w:r>
          </w:p>
        </w:tc>
        <w:tc>
          <w:tcPr>
            <w:tcW w:w="2473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Latch enable in the peripheral circuits. The data will be taken at the positive edge of CLK when Latch_en_Per is hign.</w:t>
            </w:r>
          </w:p>
        </w:tc>
        <w:tc>
          <w:tcPr>
            <w:tcW w:w="1595" w:type="pct"/>
            <w:gridSpan w:val="3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Signals in Periphery</w:t>
            </w:r>
          </w:p>
        </w:tc>
      </w:tr>
      <w:tr w:rsidR="002F2337" w:rsidRPr="002F2337" w:rsidTr="00F37502">
        <w:tc>
          <w:tcPr>
            <w:tcW w:w="932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Addr_rcv</w:t>
            </w:r>
          </w:p>
        </w:tc>
        <w:tc>
          <w:tcPr>
            <w:tcW w:w="2473" w:type="pct"/>
          </w:tcPr>
          <w:p w:rsidR="002F2337" w:rsidRPr="002F2337" w:rsidRDefault="002F2337" w:rsidP="002F233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The received addr in the peripheral circuits</w:t>
            </w:r>
          </w:p>
        </w:tc>
        <w:tc>
          <w:tcPr>
            <w:tcW w:w="1595" w:type="pct"/>
            <w:gridSpan w:val="3"/>
          </w:tcPr>
          <w:p w:rsidR="002F2337" w:rsidRPr="002F2337" w:rsidRDefault="002F2337" w:rsidP="002F233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2337">
              <w:rPr>
                <w:rFonts w:ascii="Times New Roman" w:eastAsia="宋体" w:hAnsi="Times New Roman" w:cs="Times New Roman"/>
                <w:szCs w:val="24"/>
              </w:rPr>
              <w:t>Signals in Periphery</w:t>
            </w:r>
          </w:p>
        </w:tc>
      </w:tr>
    </w:tbl>
    <w:p w:rsidR="0094539B" w:rsidRDefault="007F14CD"/>
    <w:p w:rsidR="00F37502" w:rsidRDefault="00F37502">
      <w:pPr>
        <w:rPr>
          <w:rFonts w:hint="eastAsia"/>
        </w:rPr>
      </w:pPr>
    </w:p>
    <w:sectPr w:rsidR="00F37502" w:rsidSect="00F3750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14CD" w:rsidRDefault="007F14CD" w:rsidP="00144A31">
      <w:r>
        <w:separator/>
      </w:r>
    </w:p>
  </w:endnote>
  <w:endnote w:type="continuationSeparator" w:id="0">
    <w:p w:rsidR="007F14CD" w:rsidRDefault="007F14CD" w:rsidP="00144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14CD" w:rsidRDefault="007F14CD" w:rsidP="00144A31">
      <w:r>
        <w:separator/>
      </w:r>
    </w:p>
  </w:footnote>
  <w:footnote w:type="continuationSeparator" w:id="0">
    <w:p w:rsidR="007F14CD" w:rsidRDefault="007F14CD" w:rsidP="00144A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337"/>
    <w:rsid w:val="00144A31"/>
    <w:rsid w:val="001C1925"/>
    <w:rsid w:val="002F2337"/>
    <w:rsid w:val="004D2E58"/>
    <w:rsid w:val="00553EB2"/>
    <w:rsid w:val="006B19BC"/>
    <w:rsid w:val="00734E16"/>
    <w:rsid w:val="007F14CD"/>
    <w:rsid w:val="00844AA1"/>
    <w:rsid w:val="00B0675C"/>
    <w:rsid w:val="00F3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E152F4D-4FE6-447B-9FE5-191D851A3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44A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44A3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44A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44A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352</Words>
  <Characters>2009</Characters>
  <Application>Microsoft Office Word</Application>
  <DocSecurity>0</DocSecurity>
  <Lines>16</Lines>
  <Paragraphs>4</Paragraphs>
  <ScaleCrop>false</ScaleCrop>
  <Company>Microsoft</Company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3</cp:revision>
  <dcterms:created xsi:type="dcterms:W3CDTF">2026-09-23T07:35:00Z</dcterms:created>
  <dcterms:modified xsi:type="dcterms:W3CDTF">2026-09-24T03:43:00Z</dcterms:modified>
</cp:coreProperties>
</file>