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Abstract ID : 4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34"/>
          <w:szCs w:val="34"/>
        </w:rPr>
      </w:pPr>
      <w:r>
        <w:rPr>
          <w:rFonts w:ascii="WenQuanYiZenHei" w:eastAsia="WenQuanYiZenHei" w:cs="WenQuanYiZenHei"/>
          <w:color w:val="000000"/>
          <w:sz w:val="34"/>
          <w:szCs w:val="34"/>
        </w:rPr>
        <w:t>Reliability of Japan Proton Accelerator Research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34"/>
          <w:szCs w:val="34"/>
        </w:rPr>
      </w:pPr>
      <w:r>
        <w:rPr>
          <w:rFonts w:ascii="WenQuanYiZenHei" w:eastAsia="WenQuanYiZenHei" w:cs="WenQuanYiZenHei"/>
          <w:color w:val="000000"/>
          <w:sz w:val="34"/>
          <w:szCs w:val="34"/>
        </w:rPr>
        <w:t>Complex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LMRoman12-Regular-Identity-H" w:eastAsia="WenQuanYiZenHei" w:hAnsi="LMRoman12-Regular-Identity-H" w:cs="LMRoman12-Regular-Identity-H"/>
          <w:color w:val="000000"/>
          <w:sz w:val="24"/>
          <w:szCs w:val="24"/>
        </w:rPr>
      </w:pPr>
      <w:r>
        <w:rPr>
          <w:rFonts w:ascii="LMRoman12-Regular-Identity-H" w:eastAsia="WenQuanYiZenHei" w:hAnsi="LMRoman12-Regular-Identity-H" w:cs="LMRoman12-Regular-Identity-H"/>
          <w:color w:val="000000"/>
          <w:sz w:val="24"/>
          <w:szCs w:val="24"/>
        </w:rPr>
        <w:t>Content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The Japan Proton Accelerator Research Complex (J-PARC) is a multipurpose facility for scientific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experiments. The J-PARC facilities were constructed at the Tokai site of the Japan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Atomic Energy Agency. The accelerator complex consists of a 400-MeV Linac, a 3-GeV Rapid-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Cycling Synchrotron (RCS) and a 30-GeV Main Ring synchrotron (MR). The RCS delivers a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proton beam to the neutron target and MR, and the MR delivers the beams to the neutrino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target and the Hadron Experimental Facility. The first operation of the neutron experiments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began in December 2008. In January 2009, we achieved the slow beam extraction to the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Hadron Experimental Facility at the MR. The regular neutrino experiments to obtain physical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data began in January 2010. Following this, the user operation has been continued with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WenQuanYiZenHei" w:eastAsia="WenQuanYiZenHei" w:cs="WenQuanYiZenHei"/>
          <w:color w:val="000000"/>
          <w:sz w:val="20"/>
          <w:szCs w:val="20"/>
        </w:rPr>
        <w:t>some accidental suspensions. These suspensions include the recovery work due to the</w:t>
      </w:r>
      <w:r w:rsidR="00764FB6">
        <w:rPr>
          <w:rFonts w:ascii="WenQuanYiZenHei" w:cs="WenQuanYiZenHei" w:hint="eastAsia"/>
          <w:color w:val="000000"/>
          <w:sz w:val="20"/>
          <w:szCs w:val="20"/>
          <w:lang w:eastAsia="ja-JP"/>
        </w:rPr>
        <w:t xml:space="preserve"> </w:t>
      </w:r>
      <w:r>
        <w:rPr>
          <w:rFonts w:ascii="WenQuanYiZenHei" w:eastAsia="WenQuanYiZenHei" w:cs="WenQuanYiZenHei"/>
          <w:color w:val="000000"/>
          <w:sz w:val="20"/>
          <w:szCs w:val="20"/>
        </w:rPr>
        <w:t>radiation leak incident at the Hadron</w:t>
      </w:r>
      <w:r w:rsidR="00764FB6">
        <w:rPr>
          <w:rFonts w:ascii="WenQuanYiZenHei" w:cs="WenQuanYiZenHei" w:hint="eastAsia"/>
          <w:color w:val="000000"/>
          <w:sz w:val="20"/>
          <w:szCs w:val="20"/>
          <w:lang w:eastAsia="ja-JP"/>
        </w:rPr>
        <w:t xml:space="preserve"> </w:t>
      </w:r>
      <w:r>
        <w:rPr>
          <w:rFonts w:ascii="WenQuanYiZenHei" w:eastAsia="WenQuanYiZenHei" w:cs="WenQuanYiZenHei"/>
          <w:color w:val="000000"/>
          <w:sz w:val="20"/>
          <w:szCs w:val="20"/>
        </w:rPr>
        <w:t>Experimental Facility.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LMRoman12-Regular-Identity-H" w:eastAsia="WenQuanYiZenHei" w:hAnsi="LMRoman12-Regular-Identity-H" w:cs="LMRoman12-Regular-Identity-H"/>
          <w:color w:val="000000"/>
          <w:sz w:val="24"/>
          <w:szCs w:val="24"/>
        </w:rPr>
      </w:pPr>
      <w:r>
        <w:rPr>
          <w:rFonts w:ascii="LMRoman12-Regular-Identity-H" w:eastAsia="WenQuanYiZenHei" w:hAnsi="LMRoman12-Regular-Identity-H" w:cs="LMRoman12-Regular-Identity-H"/>
          <w:color w:val="000000"/>
          <w:sz w:val="24"/>
          <w:szCs w:val="24"/>
        </w:rPr>
        <w:t>Summary</w:t>
      </w:r>
    </w:p>
    <w:p w:rsidR="00764FB6" w:rsidRDefault="00764FB6" w:rsidP="00764FB6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 w:rsidRPr="00764FB6">
        <w:rPr>
          <w:rFonts w:ascii="WenQuanYiZenHei" w:eastAsia="WenQuanYiZenHei" w:cs="WenQuanYiZenHei"/>
          <w:color w:val="000000"/>
          <w:sz w:val="20"/>
          <w:szCs w:val="20"/>
        </w:rPr>
        <w:t>We summarize the statistics of the reliability of J-PARC accelerator system. Especially we introduce the detail of the hadron hall accident which made large influence for facility operation, and lessons learnt from it.</w:t>
      </w:r>
      <w:bookmarkStart w:id="0" w:name="_GoBack"/>
      <w:bookmarkEnd w:id="0"/>
    </w:p>
    <w:p w:rsidR="00764FB6" w:rsidRDefault="00764FB6" w:rsidP="00764FB6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LMRoman10-Regular-Identity-H" w:eastAsia="WenQuanYiZenHei" w:hAnsi="LMRoman10-Regular-Identity-H" w:cs="LMRoman10-Regular-Identity-H"/>
          <w:color w:val="000000"/>
        </w:rPr>
        <w:t xml:space="preserve">Primary author(s) : </w:t>
      </w:r>
      <w:r>
        <w:rPr>
          <w:rFonts w:ascii="WenQuanYiZenHei" w:eastAsia="WenQuanYiZenHei" w:cs="WenQuanYiZenHei"/>
          <w:color w:val="000000"/>
          <w:sz w:val="20"/>
          <w:szCs w:val="20"/>
        </w:rPr>
        <w:t>YAMAMOTO, Kazami (Japan Atomic Energy Agency)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LMRoman10-Regular-Identity-H" w:eastAsia="WenQuanYiZenHei" w:hAnsi="LMRoman10-Regular-Identity-H" w:cs="LMRoman10-Regular-Identity-H"/>
          <w:color w:val="000000"/>
        </w:rPr>
        <w:t xml:space="preserve">Presenter(s) : </w:t>
      </w:r>
      <w:r>
        <w:rPr>
          <w:rFonts w:ascii="WenQuanYiZenHei" w:eastAsia="WenQuanYiZenHei" w:cs="WenQuanYiZenHei"/>
          <w:color w:val="000000"/>
          <w:sz w:val="20"/>
          <w:szCs w:val="20"/>
        </w:rPr>
        <w:t>YAMAMOTO, Kazami (Japan Atomic Energy Agency)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</w:rPr>
      </w:pPr>
      <w:r>
        <w:rPr>
          <w:rFonts w:ascii="LMRoman10-Regular-Identity-H" w:eastAsia="WenQuanYiZenHei" w:hAnsi="LMRoman10-Regular-Identity-H" w:cs="LMRoman10-Regular-Identity-H"/>
          <w:color w:val="000000"/>
        </w:rPr>
        <w:t xml:space="preserve">Track Classification : </w:t>
      </w:r>
      <w:r>
        <w:rPr>
          <w:rFonts w:ascii="WenQuanYiZenHei" w:eastAsia="WenQuanYiZenHei" w:cs="WenQuanYiZenHei"/>
          <w:color w:val="000000"/>
        </w:rPr>
        <w:t>Fault Investigation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</w:rPr>
      </w:pPr>
      <w:r>
        <w:rPr>
          <w:rFonts w:ascii="LMRoman10-Regular-Identity-H" w:eastAsia="WenQuanYiZenHei" w:hAnsi="LMRoman10-Regular-Identity-H" w:cs="LMRoman10-Regular-Identity-H"/>
          <w:color w:val="000000"/>
        </w:rPr>
        <w:t xml:space="preserve">Contribution Type : </w:t>
      </w:r>
      <w:r>
        <w:rPr>
          <w:rFonts w:ascii="WenQuanYiZenHei" w:eastAsia="WenQuanYiZenHei" w:cs="WenQuanYiZenHei"/>
          <w:color w:val="000000"/>
        </w:rPr>
        <w:t>oral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</w:rPr>
      </w:pPr>
      <w:r>
        <w:rPr>
          <w:rFonts w:ascii="WenQuanYiZenHei" w:eastAsia="WenQuanYiZenHei" w:cs="WenQuanYiZenHei"/>
          <w:color w:val="000000"/>
        </w:rPr>
        <w:t>Status: SUBMITTED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</w:rPr>
      </w:pPr>
      <w:r>
        <w:rPr>
          <w:rFonts w:ascii="WenQuanYiZenHei" w:eastAsia="WenQuanYiZenHei" w:cs="WenQuanYiZenHei"/>
          <w:color w:val="000000"/>
        </w:rPr>
        <w:t>Track Judgements: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  <w:sz w:val="20"/>
          <w:szCs w:val="20"/>
        </w:rPr>
      </w:pPr>
      <w:r>
        <w:rPr>
          <w:rFonts w:ascii="LMRoman10-Regular-Identity-H" w:eastAsia="WenQuanYiZenHei" w:hAnsi="LMRoman10-Regular-Identity-H" w:cs="LMRoman10-Regular-Identity-H"/>
          <w:color w:val="000000"/>
          <w:sz w:val="20"/>
          <w:szCs w:val="20"/>
        </w:rPr>
        <w:t xml:space="preserve">Fault Investigation: </w:t>
      </w:r>
      <w:r>
        <w:rPr>
          <w:rFonts w:ascii="WenQuanYiZenHei" w:eastAsia="WenQuanYiZenHei" w:cs="WenQuanYiZenHei"/>
          <w:color w:val="000000"/>
          <w:sz w:val="20"/>
          <w:szCs w:val="20"/>
        </w:rPr>
        <w:t>None</w:t>
      </w:r>
    </w:p>
    <w:p w:rsidR="00C0589A" w:rsidRDefault="00C0589A" w:rsidP="00C0589A">
      <w:pPr>
        <w:autoSpaceDE w:val="0"/>
        <w:autoSpaceDN w:val="0"/>
        <w:adjustRightInd w:val="0"/>
        <w:spacing w:after="0" w:line="240" w:lineRule="auto"/>
        <w:rPr>
          <w:rFonts w:ascii="WenQuanYiZenHei" w:eastAsia="WenQuanYiZenHei" w:cs="WenQuanYiZenHei"/>
          <w:color w:val="000000"/>
        </w:rPr>
      </w:pPr>
      <w:r>
        <w:rPr>
          <w:rFonts w:ascii="WenQuanYiZenHei" w:eastAsia="WenQuanYiZenHei" w:cs="WenQuanYiZenHei"/>
          <w:color w:val="000000"/>
        </w:rPr>
        <w:t>Submitted by YAMAMOTO, Kazami on Monday 08 July 2019</w:t>
      </w:r>
    </w:p>
    <w:p w:rsidR="000A0230" w:rsidRDefault="00C0589A" w:rsidP="00C0589A">
      <w:pPr>
        <w:rPr>
          <w:rFonts w:ascii="WenQuanYiZenHei" w:eastAsia="WenQuanYiZenHei" w:cs="WenQuanYiZenHei"/>
          <w:color w:val="808080"/>
          <w:sz w:val="20"/>
          <w:szCs w:val="20"/>
        </w:rPr>
      </w:pPr>
      <w:r>
        <w:rPr>
          <w:rFonts w:ascii="WenQuanYiZenHei" w:eastAsia="WenQuanYiZenHei" w:cs="WenQuanYiZenHei"/>
          <w:color w:val="808080"/>
          <w:sz w:val="20"/>
          <w:szCs w:val="20"/>
        </w:rPr>
        <w:t>October</w:t>
      </w:r>
    </w:p>
    <w:p w:rsidR="00D9640C" w:rsidRPr="000A0230" w:rsidRDefault="00D9640C" w:rsidP="00D9640C">
      <w:pPr>
        <w:rPr>
          <w:rFonts w:ascii="WenQuanYiZenHei" w:eastAsia="WenQuanYiZenHei" w:cs="WenQuanYiZenHei"/>
        </w:rPr>
      </w:pPr>
    </w:p>
    <w:sectPr w:rsidR="00D9640C" w:rsidRPr="000A0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ZenHei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LMRoman12-Regular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E7"/>
    <w:rsid w:val="000A0230"/>
    <w:rsid w:val="0024014C"/>
    <w:rsid w:val="00764FB6"/>
    <w:rsid w:val="00811AFC"/>
    <w:rsid w:val="00C0589A"/>
    <w:rsid w:val="00C62426"/>
    <w:rsid w:val="00D9640C"/>
    <w:rsid w:val="00E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BB90B"/>
  <w15:docId w15:val="{59B95BCF-F3DD-4D4E-A86E-9FD34D26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Curie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Meyroneinc Samuel</dc:creator>
  <cp:keywords/>
  <dc:description/>
  <cp:lastModifiedBy>Yamamoto Kazami</cp:lastModifiedBy>
  <cp:revision>4</cp:revision>
  <dcterms:created xsi:type="dcterms:W3CDTF">2019-11-05T06:39:00Z</dcterms:created>
  <dcterms:modified xsi:type="dcterms:W3CDTF">2019-11-05T06:44:00Z</dcterms:modified>
</cp:coreProperties>
</file>